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AF62" w14:textId="1D5E0152" w:rsidR="00BB5227" w:rsidRDefault="00BB5227">
      <w:pPr>
        <w:rPr>
          <w:rFonts w:ascii="Calibri" w:hAnsi="Calibri" w:cs="Calibri"/>
          <w:u w:val="single"/>
        </w:rPr>
      </w:pPr>
      <w:r w:rsidRPr="007843D8">
        <w:rPr>
          <w:rFonts w:ascii="Calibri" w:hAnsi="Calibri" w:cs="Calibri"/>
          <w:u w:val="single"/>
        </w:rPr>
        <w:t>For noting</w:t>
      </w:r>
      <w:r w:rsidR="00AD2C96" w:rsidRPr="007843D8">
        <w:rPr>
          <w:rFonts w:ascii="Calibri" w:hAnsi="Calibri" w:cs="Calibri"/>
          <w:u w:val="single"/>
        </w:rPr>
        <w:t xml:space="preserve">, </w:t>
      </w:r>
      <w:r w:rsidRPr="007843D8">
        <w:rPr>
          <w:rFonts w:ascii="Calibri" w:hAnsi="Calibri" w:cs="Calibri"/>
          <w:u w:val="single"/>
        </w:rPr>
        <w:t>discussion</w:t>
      </w:r>
      <w:r w:rsidR="00AD2C96" w:rsidRPr="007843D8">
        <w:rPr>
          <w:rFonts w:ascii="Calibri" w:hAnsi="Calibri" w:cs="Calibri"/>
          <w:u w:val="single"/>
        </w:rPr>
        <w:t xml:space="preserve"> and agreement on an action plan for the churchyard wall</w:t>
      </w:r>
    </w:p>
    <w:p w14:paraId="554078B3" w14:textId="77777777" w:rsidR="007843D8" w:rsidRPr="007843D8" w:rsidRDefault="007843D8">
      <w:pPr>
        <w:rPr>
          <w:rFonts w:ascii="Calibri" w:hAnsi="Calibri" w:cs="Calibri"/>
          <w:u w:val="single"/>
        </w:rPr>
      </w:pPr>
    </w:p>
    <w:p w14:paraId="0DC6F487" w14:textId="35399946" w:rsidR="00BB5227" w:rsidRPr="007843D8" w:rsidRDefault="00BB5227">
      <w:pPr>
        <w:rPr>
          <w:rFonts w:ascii="Calibri" w:hAnsi="Calibri" w:cs="Calibri"/>
          <w:b/>
          <w:bCs/>
          <w:sz w:val="32"/>
          <w:szCs w:val="32"/>
        </w:rPr>
      </w:pPr>
      <w:r w:rsidRPr="007843D8">
        <w:rPr>
          <w:rFonts w:ascii="Calibri" w:hAnsi="Calibri" w:cs="Calibri"/>
          <w:b/>
          <w:bCs/>
          <w:sz w:val="32"/>
          <w:szCs w:val="32"/>
        </w:rPr>
        <w:t>8. Closed Churchyard Report</w:t>
      </w:r>
    </w:p>
    <w:p w14:paraId="5DF803C6" w14:textId="22758B70" w:rsidR="00BB5227" w:rsidRPr="007843D8" w:rsidRDefault="00AD2C96">
      <w:pPr>
        <w:rPr>
          <w:rFonts w:ascii="Calibri" w:hAnsi="Calibri" w:cs="Calibri"/>
          <w:b/>
          <w:bCs/>
        </w:rPr>
      </w:pPr>
      <w:r w:rsidRPr="007843D8">
        <w:rPr>
          <w:rFonts w:ascii="Calibri" w:hAnsi="Calibri" w:cs="Calibri"/>
          <w:b/>
          <w:bCs/>
        </w:rPr>
        <w:t>Footpaths/Rights-of-Way through the closed churchyard</w:t>
      </w:r>
    </w:p>
    <w:p w14:paraId="1D0F4529" w14:textId="043B4334" w:rsidR="00AD2C96" w:rsidRPr="00DD72A3" w:rsidRDefault="00AD2C96">
      <w:pPr>
        <w:rPr>
          <w:rFonts w:ascii="Calibri" w:hAnsi="Calibri" w:cs="Calibri"/>
          <w:sz w:val="22"/>
          <w:szCs w:val="22"/>
        </w:rPr>
      </w:pPr>
      <w:r w:rsidRPr="00DD72A3">
        <w:rPr>
          <w:rFonts w:ascii="Calibri" w:hAnsi="Calibri" w:cs="Calibri"/>
          <w:sz w:val="22"/>
          <w:szCs w:val="22"/>
        </w:rPr>
        <w:t xml:space="preserve">Suffolk County Council has yet to respond to the application. </w:t>
      </w:r>
      <w:r w:rsidR="007843D8" w:rsidRPr="00DD72A3">
        <w:rPr>
          <w:rFonts w:ascii="Calibri" w:hAnsi="Calibri" w:cs="Calibri"/>
          <w:sz w:val="22"/>
          <w:szCs w:val="22"/>
        </w:rPr>
        <w:t>This remains</w:t>
      </w:r>
      <w:r w:rsidRPr="00DD72A3">
        <w:rPr>
          <w:rFonts w:ascii="Calibri" w:hAnsi="Calibri" w:cs="Calibri"/>
          <w:sz w:val="22"/>
          <w:szCs w:val="22"/>
        </w:rPr>
        <w:t xml:space="preserve"> on it</w:t>
      </w:r>
      <w:r w:rsidR="007843D8" w:rsidRPr="00DD72A3">
        <w:rPr>
          <w:rFonts w:ascii="Calibri" w:hAnsi="Calibri" w:cs="Calibri"/>
          <w:sz w:val="22"/>
          <w:szCs w:val="22"/>
        </w:rPr>
        <w:t>s</w:t>
      </w:r>
      <w:r w:rsidRPr="00DD72A3">
        <w:rPr>
          <w:rFonts w:ascii="Calibri" w:hAnsi="Calibri" w:cs="Calibri"/>
          <w:sz w:val="22"/>
          <w:szCs w:val="22"/>
        </w:rPr>
        <w:t xml:space="preserve"> priority list.</w:t>
      </w:r>
    </w:p>
    <w:p w14:paraId="62703107" w14:textId="3DC205D4" w:rsidR="00AD2C96" w:rsidRDefault="00AD2C96">
      <w:pPr>
        <w:rPr>
          <w:rFonts w:ascii="Calibri" w:hAnsi="Calibri" w:cs="Calibri"/>
          <w:b/>
          <w:bCs/>
        </w:rPr>
      </w:pPr>
      <w:r w:rsidRPr="007843D8">
        <w:rPr>
          <w:rFonts w:ascii="Calibri" w:hAnsi="Calibri" w:cs="Calibri"/>
          <w:b/>
          <w:bCs/>
        </w:rPr>
        <w:t>Grass cutting and trees maintenance</w:t>
      </w:r>
    </w:p>
    <w:p w14:paraId="098AE56E" w14:textId="40C643ED" w:rsidR="007843D8" w:rsidRPr="006771C8" w:rsidRDefault="007843D8">
      <w:pPr>
        <w:rPr>
          <w:rFonts w:ascii="Calibri" w:hAnsi="Calibri" w:cs="Calibri"/>
          <w:sz w:val="22"/>
          <w:szCs w:val="22"/>
          <w:u w:val="single"/>
        </w:rPr>
      </w:pPr>
      <w:r w:rsidRPr="00DD72A3">
        <w:rPr>
          <w:rFonts w:ascii="Calibri" w:hAnsi="Calibri" w:cs="Calibri"/>
          <w:sz w:val="22"/>
          <w:szCs w:val="22"/>
        </w:rPr>
        <w:t xml:space="preserve">This year’s tree maintenance work was undertaken by Eastwood Trees in July at a cost of £550 excl. VAT. </w:t>
      </w:r>
      <w:r w:rsidR="006771C8" w:rsidRPr="006771C8">
        <w:rPr>
          <w:rFonts w:ascii="Calibri" w:hAnsi="Calibri" w:cs="Calibri"/>
          <w:sz w:val="22"/>
          <w:szCs w:val="22"/>
          <w:u w:val="single"/>
        </w:rPr>
        <w:t>The quotation for the work had not been accepted by councillors at a meeting and council is asked to do so now.</w:t>
      </w:r>
    </w:p>
    <w:p w14:paraId="390205E2" w14:textId="30A169A4" w:rsidR="00AD2C96" w:rsidRPr="00DD72A3" w:rsidRDefault="007843D8">
      <w:pPr>
        <w:rPr>
          <w:rFonts w:ascii="Calibri" w:hAnsi="Calibri" w:cs="Calibri"/>
          <w:sz w:val="22"/>
          <w:szCs w:val="22"/>
        </w:rPr>
      </w:pPr>
      <w:r w:rsidRPr="00DD72A3">
        <w:rPr>
          <w:rFonts w:ascii="Calibri" w:hAnsi="Calibri" w:cs="Calibri"/>
          <w:sz w:val="22"/>
          <w:szCs w:val="22"/>
        </w:rPr>
        <w:t>The cut of the churchyard is scheduled for September. The clerk is asked to arrange an onsite meeting between Richard Harley and Cllrs Mills and Soanes beforehand, to walk through what’s to be done, as per the agreement in 2024. Subject to confirmation by the PCC and trustees, the seed hay will be spread at the burial ground and at The Coddenham Centre.</w:t>
      </w:r>
    </w:p>
    <w:p w14:paraId="0DB398D2" w14:textId="231D2C10" w:rsidR="00AD2C96" w:rsidRDefault="00AD2C96">
      <w:pPr>
        <w:rPr>
          <w:rFonts w:ascii="Calibri" w:hAnsi="Calibri" w:cs="Calibri"/>
          <w:b/>
          <w:bCs/>
        </w:rPr>
      </w:pPr>
      <w:r w:rsidRPr="007843D8">
        <w:rPr>
          <w:rFonts w:ascii="Calibri" w:hAnsi="Calibri" w:cs="Calibri"/>
          <w:b/>
          <w:bCs/>
        </w:rPr>
        <w:t>The gates/gateposts at the south-west of the churchyard</w:t>
      </w:r>
    </w:p>
    <w:p w14:paraId="6F20A85A" w14:textId="518DC197" w:rsidR="007843D8" w:rsidRPr="00DD72A3" w:rsidRDefault="007843D8">
      <w:pPr>
        <w:rPr>
          <w:rFonts w:ascii="Calibri" w:hAnsi="Calibri" w:cs="Calibri"/>
          <w:sz w:val="22"/>
          <w:szCs w:val="22"/>
        </w:rPr>
      </w:pPr>
      <w:r w:rsidRPr="00DD72A3">
        <w:rPr>
          <w:rFonts w:ascii="Calibri" w:hAnsi="Calibri" w:cs="Calibri"/>
          <w:sz w:val="22"/>
          <w:szCs w:val="22"/>
        </w:rPr>
        <w:t>Awaiting a review of the current gates to determine if they may be repaired or will need replacing and likely costs. Any work will be scheduled alongside that for the churchyard wall.</w:t>
      </w:r>
    </w:p>
    <w:p w14:paraId="6DDC355A" w14:textId="50C99C1B" w:rsidR="00AD2C96" w:rsidRDefault="00AD2C96">
      <w:pPr>
        <w:rPr>
          <w:rFonts w:ascii="Calibri" w:hAnsi="Calibri" w:cs="Calibri"/>
          <w:b/>
          <w:bCs/>
        </w:rPr>
      </w:pPr>
      <w:r w:rsidRPr="00690A68">
        <w:rPr>
          <w:rFonts w:ascii="Calibri" w:hAnsi="Calibri" w:cs="Calibri"/>
          <w:b/>
          <w:bCs/>
        </w:rPr>
        <w:t>The churchyard wall</w:t>
      </w:r>
    </w:p>
    <w:p w14:paraId="016E6FA6" w14:textId="07ED936C" w:rsidR="00690A68" w:rsidRPr="00DD72A3" w:rsidRDefault="00690A68">
      <w:pPr>
        <w:rPr>
          <w:rFonts w:ascii="Calibri" w:hAnsi="Calibri" w:cs="Calibri"/>
          <w:sz w:val="22"/>
          <w:szCs w:val="22"/>
        </w:rPr>
      </w:pPr>
      <w:r w:rsidRPr="00DD72A3">
        <w:rPr>
          <w:rFonts w:ascii="Calibri" w:hAnsi="Calibri" w:cs="Calibri"/>
          <w:sz w:val="22"/>
          <w:szCs w:val="22"/>
        </w:rPr>
        <w:t>The consultants engaged by the council – Wright Consulting - submitted their tender analysis report on 19</w:t>
      </w:r>
      <w:r w:rsidRPr="00DD72A3">
        <w:rPr>
          <w:rFonts w:ascii="Calibri" w:hAnsi="Calibri" w:cs="Calibri"/>
          <w:sz w:val="22"/>
          <w:szCs w:val="22"/>
          <w:vertAlign w:val="superscript"/>
        </w:rPr>
        <w:t>th</w:t>
      </w:r>
      <w:r w:rsidRPr="00DD72A3">
        <w:rPr>
          <w:rFonts w:ascii="Calibri" w:hAnsi="Calibri" w:cs="Calibri"/>
          <w:sz w:val="22"/>
          <w:szCs w:val="22"/>
        </w:rPr>
        <w:t xml:space="preserve"> August. </w:t>
      </w:r>
      <w:r w:rsidR="00121E89" w:rsidRPr="00DD72A3">
        <w:rPr>
          <w:rFonts w:ascii="Calibri" w:hAnsi="Calibri" w:cs="Calibri"/>
          <w:sz w:val="22"/>
          <w:szCs w:val="22"/>
        </w:rPr>
        <w:t>A copy has been circulated to councillors.</w:t>
      </w:r>
    </w:p>
    <w:p w14:paraId="117DBD38" w14:textId="77777777" w:rsidR="00ED358A" w:rsidRPr="00DD72A3" w:rsidRDefault="00121E89">
      <w:pPr>
        <w:rPr>
          <w:rFonts w:ascii="Calibri" w:hAnsi="Calibri" w:cs="Calibri"/>
          <w:sz w:val="22"/>
          <w:szCs w:val="22"/>
        </w:rPr>
      </w:pPr>
      <w:r w:rsidRPr="00DD72A3">
        <w:rPr>
          <w:rFonts w:ascii="Calibri" w:hAnsi="Calibri" w:cs="Calibri"/>
          <w:sz w:val="22"/>
          <w:szCs w:val="22"/>
        </w:rPr>
        <w:t xml:space="preserve">Submitted quotation costs ex contingency and VAT from the three contractors asked to quote were </w:t>
      </w:r>
      <w:r w:rsidR="00ED358A" w:rsidRPr="00DD72A3">
        <w:rPr>
          <w:rFonts w:ascii="Calibri" w:hAnsi="Calibri" w:cs="Calibri"/>
          <w:sz w:val="22"/>
          <w:szCs w:val="22"/>
        </w:rPr>
        <w:t>as follows:</w:t>
      </w:r>
    </w:p>
    <w:tbl>
      <w:tblPr>
        <w:tblStyle w:val="TableGrid"/>
        <w:tblW w:w="0" w:type="auto"/>
        <w:tblLook w:val="04A0" w:firstRow="1" w:lastRow="0" w:firstColumn="1" w:lastColumn="0" w:noHBand="0" w:noVBand="1"/>
      </w:tblPr>
      <w:tblGrid>
        <w:gridCol w:w="1129"/>
        <w:gridCol w:w="1865"/>
        <w:gridCol w:w="1865"/>
        <w:gridCol w:w="1866"/>
        <w:gridCol w:w="1865"/>
        <w:gridCol w:w="1866"/>
      </w:tblGrid>
      <w:tr w:rsidR="00ED358A" w14:paraId="1CAB8CEC" w14:textId="77777777" w:rsidTr="00ED358A">
        <w:tc>
          <w:tcPr>
            <w:tcW w:w="1129" w:type="dxa"/>
          </w:tcPr>
          <w:p w14:paraId="345B56CD" w14:textId="322D5F92" w:rsidR="00ED358A" w:rsidRPr="00ED358A" w:rsidRDefault="00ED358A" w:rsidP="00ED358A">
            <w:pPr>
              <w:jc w:val="center"/>
              <w:rPr>
                <w:rFonts w:ascii="Calibri" w:hAnsi="Calibri" w:cs="Calibri"/>
                <w:sz w:val="20"/>
                <w:szCs w:val="20"/>
              </w:rPr>
            </w:pPr>
            <w:r>
              <w:rPr>
                <w:rFonts w:ascii="Calibri" w:hAnsi="Calibri" w:cs="Calibri"/>
                <w:sz w:val="20"/>
                <w:szCs w:val="20"/>
              </w:rPr>
              <w:t>Contractor</w:t>
            </w:r>
          </w:p>
        </w:tc>
        <w:tc>
          <w:tcPr>
            <w:tcW w:w="1865" w:type="dxa"/>
          </w:tcPr>
          <w:p w14:paraId="2F1DBACF" w14:textId="1F1C58A6" w:rsidR="00ED358A" w:rsidRPr="00ED358A" w:rsidRDefault="00ED358A" w:rsidP="00ED358A">
            <w:pPr>
              <w:jc w:val="center"/>
              <w:rPr>
                <w:rFonts w:ascii="Calibri" w:hAnsi="Calibri" w:cs="Calibri"/>
                <w:sz w:val="20"/>
                <w:szCs w:val="20"/>
              </w:rPr>
            </w:pPr>
            <w:r>
              <w:rPr>
                <w:rFonts w:ascii="Calibri" w:hAnsi="Calibri" w:cs="Calibri"/>
                <w:sz w:val="20"/>
                <w:szCs w:val="20"/>
              </w:rPr>
              <w:t>Preliminaries</w:t>
            </w:r>
          </w:p>
        </w:tc>
        <w:tc>
          <w:tcPr>
            <w:tcW w:w="1865" w:type="dxa"/>
          </w:tcPr>
          <w:p w14:paraId="229463DA" w14:textId="3342F2FA" w:rsidR="00ED358A" w:rsidRPr="00ED358A" w:rsidRDefault="00ED358A" w:rsidP="00ED358A">
            <w:pPr>
              <w:jc w:val="center"/>
              <w:rPr>
                <w:rFonts w:ascii="Calibri" w:hAnsi="Calibri" w:cs="Calibri"/>
                <w:sz w:val="20"/>
                <w:szCs w:val="20"/>
              </w:rPr>
            </w:pPr>
            <w:r>
              <w:rPr>
                <w:rFonts w:ascii="Calibri" w:hAnsi="Calibri" w:cs="Calibri"/>
                <w:sz w:val="20"/>
                <w:szCs w:val="20"/>
              </w:rPr>
              <w:t>Recording, Protection and completion</w:t>
            </w:r>
          </w:p>
        </w:tc>
        <w:tc>
          <w:tcPr>
            <w:tcW w:w="1866" w:type="dxa"/>
          </w:tcPr>
          <w:p w14:paraId="31C77511" w14:textId="79CC12F9" w:rsidR="00ED358A" w:rsidRPr="00ED358A" w:rsidRDefault="00ED358A" w:rsidP="00ED358A">
            <w:pPr>
              <w:jc w:val="center"/>
              <w:rPr>
                <w:rFonts w:ascii="Calibri" w:hAnsi="Calibri" w:cs="Calibri"/>
                <w:sz w:val="20"/>
                <w:szCs w:val="20"/>
              </w:rPr>
            </w:pPr>
            <w:r>
              <w:rPr>
                <w:rFonts w:ascii="Calibri" w:hAnsi="Calibri" w:cs="Calibri"/>
                <w:sz w:val="20"/>
                <w:szCs w:val="20"/>
              </w:rPr>
              <w:t>Proposed Works</w:t>
            </w:r>
          </w:p>
        </w:tc>
        <w:tc>
          <w:tcPr>
            <w:tcW w:w="1865" w:type="dxa"/>
          </w:tcPr>
          <w:p w14:paraId="4BE2E2F8" w14:textId="44A6D9F4" w:rsidR="00ED358A" w:rsidRPr="00ED358A" w:rsidRDefault="00831582" w:rsidP="00ED358A">
            <w:pPr>
              <w:jc w:val="center"/>
              <w:rPr>
                <w:rFonts w:ascii="Calibri" w:hAnsi="Calibri" w:cs="Calibri"/>
                <w:sz w:val="20"/>
                <w:szCs w:val="20"/>
              </w:rPr>
            </w:pPr>
            <w:r>
              <w:rPr>
                <w:rFonts w:ascii="Calibri" w:hAnsi="Calibri" w:cs="Calibri"/>
                <w:sz w:val="20"/>
                <w:szCs w:val="20"/>
              </w:rPr>
              <w:t>Total ex VAT and contingency</w:t>
            </w:r>
          </w:p>
        </w:tc>
        <w:tc>
          <w:tcPr>
            <w:tcW w:w="1866" w:type="dxa"/>
          </w:tcPr>
          <w:p w14:paraId="775BD2AA" w14:textId="77777777" w:rsidR="00ED358A" w:rsidRDefault="00ED358A" w:rsidP="00ED358A">
            <w:pPr>
              <w:jc w:val="center"/>
              <w:rPr>
                <w:rFonts w:ascii="Calibri" w:hAnsi="Calibri" w:cs="Calibri"/>
                <w:sz w:val="20"/>
                <w:szCs w:val="20"/>
              </w:rPr>
            </w:pPr>
            <w:r>
              <w:rPr>
                <w:rFonts w:ascii="Calibri" w:hAnsi="Calibri" w:cs="Calibri"/>
                <w:sz w:val="20"/>
                <w:szCs w:val="20"/>
              </w:rPr>
              <w:t>Total</w:t>
            </w:r>
            <w:r w:rsidR="00831582">
              <w:rPr>
                <w:rFonts w:ascii="Calibri" w:hAnsi="Calibri" w:cs="Calibri"/>
                <w:sz w:val="20"/>
                <w:szCs w:val="20"/>
              </w:rPr>
              <w:t xml:space="preserve"> with contingency </w:t>
            </w:r>
          </w:p>
          <w:p w14:paraId="5A2A1D1B" w14:textId="47B64D4A" w:rsidR="00831582" w:rsidRPr="00ED358A" w:rsidRDefault="00831582" w:rsidP="00ED358A">
            <w:pPr>
              <w:jc w:val="center"/>
              <w:rPr>
                <w:rFonts w:ascii="Calibri" w:hAnsi="Calibri" w:cs="Calibri"/>
                <w:sz w:val="20"/>
                <w:szCs w:val="20"/>
              </w:rPr>
            </w:pPr>
            <w:r>
              <w:rPr>
                <w:rFonts w:ascii="Calibri" w:hAnsi="Calibri" w:cs="Calibri"/>
                <w:sz w:val="20"/>
                <w:szCs w:val="20"/>
              </w:rPr>
              <w:t>(£7,500)</w:t>
            </w:r>
          </w:p>
        </w:tc>
      </w:tr>
      <w:tr w:rsidR="00ED358A" w14:paraId="02F5AFA0" w14:textId="77777777" w:rsidTr="00ED358A">
        <w:tc>
          <w:tcPr>
            <w:tcW w:w="1129" w:type="dxa"/>
          </w:tcPr>
          <w:p w14:paraId="7C49F3BA" w14:textId="50686FD9" w:rsidR="00ED358A" w:rsidRPr="00ED358A" w:rsidRDefault="00ED358A">
            <w:pPr>
              <w:rPr>
                <w:rFonts w:ascii="Calibri" w:hAnsi="Calibri" w:cs="Calibri"/>
                <w:sz w:val="20"/>
                <w:szCs w:val="20"/>
              </w:rPr>
            </w:pPr>
            <w:r w:rsidRPr="00ED358A">
              <w:rPr>
                <w:rFonts w:ascii="Calibri" w:hAnsi="Calibri" w:cs="Calibri"/>
                <w:sz w:val="20"/>
                <w:szCs w:val="20"/>
              </w:rPr>
              <w:t>A</w:t>
            </w:r>
          </w:p>
        </w:tc>
        <w:tc>
          <w:tcPr>
            <w:tcW w:w="1865" w:type="dxa"/>
          </w:tcPr>
          <w:p w14:paraId="3C18170A" w14:textId="0B6DF67C" w:rsidR="00ED358A" w:rsidRPr="00ED358A" w:rsidRDefault="00ED358A" w:rsidP="00ED358A">
            <w:pPr>
              <w:jc w:val="right"/>
              <w:rPr>
                <w:rFonts w:ascii="Calibri" w:hAnsi="Calibri" w:cs="Calibri"/>
                <w:sz w:val="20"/>
                <w:szCs w:val="20"/>
              </w:rPr>
            </w:pPr>
            <w:r>
              <w:rPr>
                <w:rFonts w:ascii="Calibri" w:hAnsi="Calibri" w:cs="Calibri"/>
                <w:sz w:val="20"/>
                <w:szCs w:val="20"/>
              </w:rPr>
              <w:t>£9,255</w:t>
            </w:r>
          </w:p>
        </w:tc>
        <w:tc>
          <w:tcPr>
            <w:tcW w:w="1865" w:type="dxa"/>
          </w:tcPr>
          <w:p w14:paraId="0338A6D7" w14:textId="5B3F64F4" w:rsidR="00ED358A" w:rsidRPr="00ED358A" w:rsidRDefault="00831582" w:rsidP="00ED358A">
            <w:pPr>
              <w:jc w:val="right"/>
              <w:rPr>
                <w:rFonts w:ascii="Calibri" w:hAnsi="Calibri" w:cs="Calibri"/>
                <w:sz w:val="20"/>
                <w:szCs w:val="20"/>
              </w:rPr>
            </w:pPr>
            <w:r>
              <w:rPr>
                <w:rFonts w:ascii="Calibri" w:hAnsi="Calibri" w:cs="Calibri"/>
                <w:sz w:val="20"/>
                <w:szCs w:val="20"/>
              </w:rPr>
              <w:t>£1,991</w:t>
            </w:r>
          </w:p>
        </w:tc>
        <w:tc>
          <w:tcPr>
            <w:tcW w:w="1866" w:type="dxa"/>
          </w:tcPr>
          <w:p w14:paraId="2F652F2B" w14:textId="32AC023C" w:rsidR="00ED358A" w:rsidRPr="00ED358A" w:rsidRDefault="00831582" w:rsidP="00ED358A">
            <w:pPr>
              <w:jc w:val="right"/>
              <w:rPr>
                <w:rFonts w:ascii="Calibri" w:hAnsi="Calibri" w:cs="Calibri"/>
                <w:sz w:val="20"/>
                <w:szCs w:val="20"/>
              </w:rPr>
            </w:pPr>
            <w:r>
              <w:rPr>
                <w:rFonts w:ascii="Calibri" w:hAnsi="Calibri" w:cs="Calibri"/>
                <w:sz w:val="20"/>
                <w:szCs w:val="20"/>
              </w:rPr>
              <w:t>£57,731</w:t>
            </w:r>
          </w:p>
        </w:tc>
        <w:tc>
          <w:tcPr>
            <w:tcW w:w="1865" w:type="dxa"/>
          </w:tcPr>
          <w:p w14:paraId="57CF4CC7" w14:textId="6AA0C496" w:rsidR="00ED358A" w:rsidRPr="00ED358A" w:rsidRDefault="00831582" w:rsidP="00ED358A">
            <w:pPr>
              <w:jc w:val="right"/>
              <w:rPr>
                <w:rFonts w:ascii="Calibri" w:hAnsi="Calibri" w:cs="Calibri"/>
                <w:sz w:val="20"/>
                <w:szCs w:val="20"/>
              </w:rPr>
            </w:pPr>
            <w:r>
              <w:rPr>
                <w:rFonts w:ascii="Calibri" w:hAnsi="Calibri" w:cs="Calibri"/>
                <w:sz w:val="20"/>
                <w:szCs w:val="20"/>
              </w:rPr>
              <w:t>£68,977</w:t>
            </w:r>
          </w:p>
        </w:tc>
        <w:tc>
          <w:tcPr>
            <w:tcW w:w="1866" w:type="dxa"/>
          </w:tcPr>
          <w:p w14:paraId="46C15C10" w14:textId="3C4A4C2B" w:rsidR="00ED358A" w:rsidRPr="00ED358A" w:rsidRDefault="00831582" w:rsidP="00ED358A">
            <w:pPr>
              <w:jc w:val="right"/>
              <w:rPr>
                <w:rFonts w:ascii="Calibri" w:hAnsi="Calibri" w:cs="Calibri"/>
                <w:sz w:val="20"/>
                <w:szCs w:val="20"/>
              </w:rPr>
            </w:pPr>
            <w:r>
              <w:rPr>
                <w:rFonts w:ascii="Calibri" w:hAnsi="Calibri" w:cs="Calibri"/>
                <w:sz w:val="20"/>
                <w:szCs w:val="20"/>
              </w:rPr>
              <w:t>£76,477</w:t>
            </w:r>
          </w:p>
        </w:tc>
      </w:tr>
      <w:tr w:rsidR="00ED358A" w14:paraId="77B0DE4F" w14:textId="77777777" w:rsidTr="00ED358A">
        <w:tc>
          <w:tcPr>
            <w:tcW w:w="1129" w:type="dxa"/>
          </w:tcPr>
          <w:p w14:paraId="265F507D" w14:textId="5197AB00" w:rsidR="00ED358A" w:rsidRPr="00ED358A" w:rsidRDefault="00ED358A">
            <w:pPr>
              <w:rPr>
                <w:rFonts w:ascii="Calibri" w:hAnsi="Calibri" w:cs="Calibri"/>
                <w:sz w:val="20"/>
                <w:szCs w:val="20"/>
              </w:rPr>
            </w:pPr>
            <w:r w:rsidRPr="00ED358A">
              <w:rPr>
                <w:rFonts w:ascii="Calibri" w:hAnsi="Calibri" w:cs="Calibri"/>
                <w:sz w:val="20"/>
                <w:szCs w:val="20"/>
              </w:rPr>
              <w:t>B</w:t>
            </w:r>
          </w:p>
        </w:tc>
        <w:tc>
          <w:tcPr>
            <w:tcW w:w="1865" w:type="dxa"/>
          </w:tcPr>
          <w:p w14:paraId="319F8A34" w14:textId="07C04FEE" w:rsidR="00ED358A" w:rsidRPr="00ED358A" w:rsidRDefault="00831582" w:rsidP="00ED358A">
            <w:pPr>
              <w:jc w:val="right"/>
              <w:rPr>
                <w:rFonts w:ascii="Calibri" w:hAnsi="Calibri" w:cs="Calibri"/>
                <w:sz w:val="20"/>
                <w:szCs w:val="20"/>
              </w:rPr>
            </w:pPr>
            <w:r>
              <w:rPr>
                <w:rFonts w:ascii="Calibri" w:hAnsi="Calibri" w:cs="Calibri"/>
                <w:sz w:val="20"/>
                <w:szCs w:val="20"/>
              </w:rPr>
              <w:t>£5,220</w:t>
            </w:r>
          </w:p>
        </w:tc>
        <w:tc>
          <w:tcPr>
            <w:tcW w:w="1865" w:type="dxa"/>
          </w:tcPr>
          <w:p w14:paraId="5085BF9C" w14:textId="7DA5EEF0" w:rsidR="00ED358A" w:rsidRPr="00ED358A" w:rsidRDefault="00831582" w:rsidP="00ED358A">
            <w:pPr>
              <w:jc w:val="right"/>
              <w:rPr>
                <w:rFonts w:ascii="Calibri" w:hAnsi="Calibri" w:cs="Calibri"/>
                <w:sz w:val="20"/>
                <w:szCs w:val="20"/>
              </w:rPr>
            </w:pPr>
            <w:r>
              <w:rPr>
                <w:rFonts w:ascii="Calibri" w:hAnsi="Calibri" w:cs="Calibri"/>
                <w:sz w:val="20"/>
                <w:szCs w:val="20"/>
              </w:rPr>
              <w:t>£4,770</w:t>
            </w:r>
          </w:p>
        </w:tc>
        <w:tc>
          <w:tcPr>
            <w:tcW w:w="1866" w:type="dxa"/>
          </w:tcPr>
          <w:p w14:paraId="3614B1E4" w14:textId="2DD285D7" w:rsidR="00ED358A" w:rsidRPr="00ED358A" w:rsidRDefault="00831582" w:rsidP="00ED358A">
            <w:pPr>
              <w:jc w:val="right"/>
              <w:rPr>
                <w:rFonts w:ascii="Calibri" w:hAnsi="Calibri" w:cs="Calibri"/>
                <w:sz w:val="20"/>
                <w:szCs w:val="20"/>
              </w:rPr>
            </w:pPr>
            <w:r>
              <w:rPr>
                <w:rFonts w:ascii="Calibri" w:hAnsi="Calibri" w:cs="Calibri"/>
                <w:sz w:val="20"/>
                <w:szCs w:val="20"/>
              </w:rPr>
              <w:t>£46,305</w:t>
            </w:r>
          </w:p>
        </w:tc>
        <w:tc>
          <w:tcPr>
            <w:tcW w:w="1865" w:type="dxa"/>
          </w:tcPr>
          <w:p w14:paraId="52F95916" w14:textId="52F38D9D" w:rsidR="00ED358A" w:rsidRPr="00ED358A" w:rsidRDefault="00831582" w:rsidP="00ED358A">
            <w:pPr>
              <w:jc w:val="right"/>
              <w:rPr>
                <w:rFonts w:ascii="Calibri" w:hAnsi="Calibri" w:cs="Calibri"/>
                <w:sz w:val="20"/>
                <w:szCs w:val="20"/>
              </w:rPr>
            </w:pPr>
            <w:r>
              <w:rPr>
                <w:rFonts w:ascii="Calibri" w:hAnsi="Calibri" w:cs="Calibri"/>
                <w:sz w:val="20"/>
                <w:szCs w:val="20"/>
              </w:rPr>
              <w:t>£56,295</w:t>
            </w:r>
          </w:p>
        </w:tc>
        <w:tc>
          <w:tcPr>
            <w:tcW w:w="1866" w:type="dxa"/>
          </w:tcPr>
          <w:p w14:paraId="42DB71FD" w14:textId="6F0FC319" w:rsidR="00ED358A" w:rsidRPr="00ED358A" w:rsidRDefault="00831582" w:rsidP="00ED358A">
            <w:pPr>
              <w:jc w:val="right"/>
              <w:rPr>
                <w:rFonts w:ascii="Calibri" w:hAnsi="Calibri" w:cs="Calibri"/>
                <w:sz w:val="20"/>
                <w:szCs w:val="20"/>
              </w:rPr>
            </w:pPr>
            <w:r>
              <w:rPr>
                <w:rFonts w:ascii="Calibri" w:hAnsi="Calibri" w:cs="Calibri"/>
                <w:sz w:val="20"/>
                <w:szCs w:val="20"/>
              </w:rPr>
              <w:t>£63,795</w:t>
            </w:r>
          </w:p>
        </w:tc>
      </w:tr>
      <w:tr w:rsidR="00ED358A" w14:paraId="36581325" w14:textId="77777777" w:rsidTr="00ED358A">
        <w:tc>
          <w:tcPr>
            <w:tcW w:w="1129" w:type="dxa"/>
          </w:tcPr>
          <w:p w14:paraId="574D7003" w14:textId="428810AB" w:rsidR="00ED358A" w:rsidRPr="00ED358A" w:rsidRDefault="00ED358A">
            <w:pPr>
              <w:rPr>
                <w:rFonts w:ascii="Calibri" w:hAnsi="Calibri" w:cs="Calibri"/>
                <w:sz w:val="20"/>
                <w:szCs w:val="20"/>
              </w:rPr>
            </w:pPr>
            <w:r w:rsidRPr="00ED358A">
              <w:rPr>
                <w:rFonts w:ascii="Calibri" w:hAnsi="Calibri" w:cs="Calibri"/>
                <w:sz w:val="20"/>
                <w:szCs w:val="20"/>
              </w:rPr>
              <w:t>C</w:t>
            </w:r>
          </w:p>
        </w:tc>
        <w:tc>
          <w:tcPr>
            <w:tcW w:w="1865" w:type="dxa"/>
          </w:tcPr>
          <w:p w14:paraId="50CF11E8" w14:textId="64B551F8" w:rsidR="00ED358A" w:rsidRPr="00ED358A" w:rsidRDefault="00831582" w:rsidP="00ED358A">
            <w:pPr>
              <w:jc w:val="right"/>
              <w:rPr>
                <w:rFonts w:ascii="Calibri" w:hAnsi="Calibri" w:cs="Calibri"/>
                <w:sz w:val="20"/>
                <w:szCs w:val="20"/>
              </w:rPr>
            </w:pPr>
            <w:r>
              <w:rPr>
                <w:rFonts w:ascii="Calibri" w:hAnsi="Calibri" w:cs="Calibri"/>
                <w:sz w:val="20"/>
                <w:szCs w:val="20"/>
              </w:rPr>
              <w:t>£12,230</w:t>
            </w:r>
          </w:p>
        </w:tc>
        <w:tc>
          <w:tcPr>
            <w:tcW w:w="1865" w:type="dxa"/>
          </w:tcPr>
          <w:p w14:paraId="32EEE3EC" w14:textId="6A96DC2D" w:rsidR="00ED358A" w:rsidRPr="00ED358A" w:rsidRDefault="00831582" w:rsidP="00ED358A">
            <w:pPr>
              <w:jc w:val="right"/>
              <w:rPr>
                <w:rFonts w:ascii="Calibri" w:hAnsi="Calibri" w:cs="Calibri"/>
                <w:sz w:val="20"/>
                <w:szCs w:val="20"/>
              </w:rPr>
            </w:pPr>
            <w:r>
              <w:rPr>
                <w:rFonts w:ascii="Calibri" w:hAnsi="Calibri" w:cs="Calibri"/>
                <w:sz w:val="20"/>
                <w:szCs w:val="20"/>
              </w:rPr>
              <w:t>£67,850</w:t>
            </w:r>
          </w:p>
        </w:tc>
        <w:tc>
          <w:tcPr>
            <w:tcW w:w="1866" w:type="dxa"/>
          </w:tcPr>
          <w:p w14:paraId="11AAAB21" w14:textId="0A1B771C" w:rsidR="00ED358A" w:rsidRPr="00ED358A" w:rsidRDefault="00831582" w:rsidP="00ED358A">
            <w:pPr>
              <w:jc w:val="right"/>
              <w:rPr>
                <w:rFonts w:ascii="Calibri" w:hAnsi="Calibri" w:cs="Calibri"/>
                <w:sz w:val="20"/>
                <w:szCs w:val="20"/>
              </w:rPr>
            </w:pPr>
            <w:r>
              <w:rPr>
                <w:rFonts w:ascii="Calibri" w:hAnsi="Calibri" w:cs="Calibri"/>
                <w:sz w:val="20"/>
                <w:szCs w:val="20"/>
              </w:rPr>
              <w:t>£68,208</w:t>
            </w:r>
          </w:p>
        </w:tc>
        <w:tc>
          <w:tcPr>
            <w:tcW w:w="1865" w:type="dxa"/>
          </w:tcPr>
          <w:p w14:paraId="5B73D506" w14:textId="1B83AFF5" w:rsidR="00ED358A" w:rsidRPr="00ED358A" w:rsidRDefault="00831582" w:rsidP="00ED358A">
            <w:pPr>
              <w:jc w:val="right"/>
              <w:rPr>
                <w:rFonts w:ascii="Calibri" w:hAnsi="Calibri" w:cs="Calibri"/>
                <w:sz w:val="20"/>
                <w:szCs w:val="20"/>
              </w:rPr>
            </w:pPr>
            <w:r>
              <w:rPr>
                <w:rFonts w:ascii="Calibri" w:hAnsi="Calibri" w:cs="Calibri"/>
                <w:sz w:val="20"/>
                <w:szCs w:val="20"/>
              </w:rPr>
              <w:t>£148,288</w:t>
            </w:r>
          </w:p>
        </w:tc>
        <w:tc>
          <w:tcPr>
            <w:tcW w:w="1866" w:type="dxa"/>
          </w:tcPr>
          <w:p w14:paraId="05C01E53" w14:textId="0BF77848" w:rsidR="00ED358A" w:rsidRPr="00ED358A" w:rsidRDefault="00831582" w:rsidP="00ED358A">
            <w:pPr>
              <w:jc w:val="right"/>
              <w:rPr>
                <w:rFonts w:ascii="Calibri" w:hAnsi="Calibri" w:cs="Calibri"/>
                <w:sz w:val="20"/>
                <w:szCs w:val="20"/>
              </w:rPr>
            </w:pPr>
            <w:r>
              <w:rPr>
                <w:rFonts w:ascii="Calibri" w:hAnsi="Calibri" w:cs="Calibri"/>
                <w:sz w:val="20"/>
                <w:szCs w:val="20"/>
              </w:rPr>
              <w:t>£155,788</w:t>
            </w:r>
          </w:p>
        </w:tc>
      </w:tr>
    </w:tbl>
    <w:p w14:paraId="26934930" w14:textId="0BDE7CBC" w:rsidR="00ED358A" w:rsidRDefault="00831582">
      <w:pPr>
        <w:rPr>
          <w:rFonts w:ascii="Calibri" w:hAnsi="Calibri" w:cs="Calibri"/>
        </w:rPr>
      </w:pPr>
      <w:r>
        <w:rPr>
          <w:rFonts w:ascii="Calibri" w:hAnsi="Calibri" w:cs="Calibri"/>
        </w:rPr>
        <w:tab/>
      </w:r>
    </w:p>
    <w:p w14:paraId="230AC681" w14:textId="77777777" w:rsidR="0052105A" w:rsidRPr="00DD72A3" w:rsidRDefault="00831582">
      <w:pPr>
        <w:rPr>
          <w:rFonts w:ascii="Calibri" w:hAnsi="Calibri" w:cs="Calibri"/>
          <w:sz w:val="22"/>
          <w:szCs w:val="22"/>
        </w:rPr>
      </w:pPr>
      <w:r w:rsidRPr="00DD72A3">
        <w:rPr>
          <w:rFonts w:ascii="Calibri" w:hAnsi="Calibri" w:cs="Calibri"/>
          <w:sz w:val="22"/>
          <w:szCs w:val="22"/>
        </w:rPr>
        <w:t>C</w:t>
      </w:r>
      <w:r w:rsidR="00121E89" w:rsidRPr="00DD72A3">
        <w:rPr>
          <w:rFonts w:ascii="Calibri" w:hAnsi="Calibri" w:cs="Calibri"/>
          <w:sz w:val="22"/>
          <w:szCs w:val="22"/>
        </w:rPr>
        <w:t xml:space="preserve">ontractor </w:t>
      </w:r>
      <w:r w:rsidRPr="00DD72A3">
        <w:rPr>
          <w:rFonts w:ascii="Calibri" w:hAnsi="Calibri" w:cs="Calibri"/>
          <w:sz w:val="22"/>
          <w:szCs w:val="22"/>
        </w:rPr>
        <w:t xml:space="preserve">A </w:t>
      </w:r>
      <w:r w:rsidR="00121E89" w:rsidRPr="00DD72A3">
        <w:rPr>
          <w:rFonts w:ascii="Calibri" w:hAnsi="Calibri" w:cs="Calibri"/>
          <w:sz w:val="22"/>
          <w:szCs w:val="22"/>
        </w:rPr>
        <w:t xml:space="preserve">didn’t include the costs of the highways permit or traffic management. </w:t>
      </w:r>
      <w:r w:rsidR="0052105A" w:rsidRPr="00DD72A3">
        <w:rPr>
          <w:rFonts w:ascii="Calibri" w:hAnsi="Calibri" w:cs="Calibri"/>
          <w:sz w:val="22"/>
          <w:szCs w:val="22"/>
        </w:rPr>
        <w:t xml:space="preserve">Wright Consulting estimate the additional cost at £5,500. </w:t>
      </w:r>
    </w:p>
    <w:p w14:paraId="4ED5BD16" w14:textId="70D20F9D" w:rsidR="00831582" w:rsidRPr="00DD72A3" w:rsidRDefault="0052105A">
      <w:pPr>
        <w:rPr>
          <w:rFonts w:ascii="Calibri" w:hAnsi="Calibri" w:cs="Calibri"/>
          <w:sz w:val="22"/>
          <w:szCs w:val="22"/>
        </w:rPr>
      </w:pPr>
      <w:r w:rsidRPr="00DD72A3">
        <w:rPr>
          <w:rFonts w:ascii="Calibri" w:hAnsi="Calibri" w:cs="Calibri"/>
          <w:sz w:val="22"/>
          <w:szCs w:val="22"/>
        </w:rPr>
        <w:t xml:space="preserve">Contractor A was the only bidder to return all the paperwork requested. </w:t>
      </w:r>
    </w:p>
    <w:p w14:paraId="3B9CE7FB" w14:textId="1DF30E6A" w:rsidR="0052105A" w:rsidRPr="00DD72A3" w:rsidRDefault="0052105A">
      <w:pPr>
        <w:rPr>
          <w:rFonts w:ascii="Calibri" w:hAnsi="Calibri" w:cs="Calibri"/>
          <w:sz w:val="22"/>
          <w:szCs w:val="22"/>
        </w:rPr>
      </w:pPr>
      <w:r w:rsidRPr="00DD72A3">
        <w:rPr>
          <w:rFonts w:ascii="Calibri" w:hAnsi="Calibri" w:cs="Calibri"/>
          <w:sz w:val="22"/>
          <w:szCs w:val="22"/>
        </w:rPr>
        <w:t xml:space="preserve">Contractor A estimates 7 weeks duration to undertake the work, with </w:t>
      </w:r>
      <w:proofErr w:type="gramStart"/>
      <w:r w:rsidRPr="00DD72A3">
        <w:rPr>
          <w:rFonts w:ascii="Calibri" w:hAnsi="Calibri" w:cs="Calibri"/>
          <w:sz w:val="22"/>
          <w:szCs w:val="22"/>
        </w:rPr>
        <w:t>a 6 weeks</w:t>
      </w:r>
      <w:proofErr w:type="gramEnd"/>
      <w:r w:rsidRPr="00DD72A3">
        <w:rPr>
          <w:rFonts w:ascii="Calibri" w:hAnsi="Calibri" w:cs="Calibri"/>
          <w:sz w:val="22"/>
          <w:szCs w:val="22"/>
        </w:rPr>
        <w:t xml:space="preserve"> ‘to start date’.</w:t>
      </w:r>
    </w:p>
    <w:p w14:paraId="4E04F5FD" w14:textId="477B1F2A" w:rsidR="0052105A" w:rsidRPr="00DD72A3" w:rsidRDefault="0052105A">
      <w:pPr>
        <w:rPr>
          <w:rFonts w:ascii="Calibri" w:hAnsi="Calibri" w:cs="Calibri"/>
          <w:sz w:val="22"/>
          <w:szCs w:val="22"/>
        </w:rPr>
      </w:pPr>
      <w:r w:rsidRPr="00DD72A3">
        <w:rPr>
          <w:rFonts w:ascii="Calibri" w:hAnsi="Calibri" w:cs="Calibri"/>
          <w:sz w:val="22"/>
          <w:szCs w:val="22"/>
        </w:rPr>
        <w:t>In addition to not providing all the paperwork requested, Contractor B failed to provide a detailed programme of the works or an ‘availability of start date’. Wright Consulting are estimating 10 weeks to undertake the work from their submission.</w:t>
      </w:r>
    </w:p>
    <w:p w14:paraId="7BCE9C7E" w14:textId="4B7588D3" w:rsidR="0052105A" w:rsidRPr="00DD72A3" w:rsidRDefault="0052105A">
      <w:pPr>
        <w:rPr>
          <w:rFonts w:ascii="Calibri" w:hAnsi="Calibri" w:cs="Calibri"/>
          <w:sz w:val="22"/>
          <w:szCs w:val="22"/>
        </w:rPr>
      </w:pPr>
      <w:r w:rsidRPr="00DD72A3">
        <w:rPr>
          <w:rFonts w:ascii="Calibri" w:hAnsi="Calibri" w:cs="Calibri"/>
          <w:sz w:val="22"/>
          <w:szCs w:val="22"/>
        </w:rPr>
        <w:t>Contractor C didn’t return its quotation until 18-Aug, against a set deadline of 25-Jul.</w:t>
      </w:r>
    </w:p>
    <w:p w14:paraId="70DD4F86" w14:textId="0FF79689" w:rsidR="0052105A" w:rsidRPr="00DD72A3" w:rsidRDefault="0052105A">
      <w:pPr>
        <w:rPr>
          <w:rFonts w:ascii="Calibri" w:hAnsi="Calibri" w:cs="Calibri"/>
          <w:sz w:val="22"/>
          <w:szCs w:val="22"/>
        </w:rPr>
      </w:pPr>
      <w:r w:rsidRPr="00DD72A3">
        <w:rPr>
          <w:rFonts w:ascii="Calibri" w:hAnsi="Calibri" w:cs="Calibri"/>
          <w:sz w:val="22"/>
          <w:szCs w:val="22"/>
        </w:rPr>
        <w:t xml:space="preserve">Contractor C is estimating 20 weeks of work, with </w:t>
      </w:r>
      <w:proofErr w:type="gramStart"/>
      <w:r w:rsidRPr="00DD72A3">
        <w:rPr>
          <w:rFonts w:ascii="Calibri" w:hAnsi="Calibri" w:cs="Calibri"/>
          <w:sz w:val="22"/>
          <w:szCs w:val="22"/>
        </w:rPr>
        <w:t>a 20 weeks</w:t>
      </w:r>
      <w:proofErr w:type="gramEnd"/>
      <w:r w:rsidRPr="00DD72A3">
        <w:rPr>
          <w:rFonts w:ascii="Calibri" w:hAnsi="Calibri" w:cs="Calibri"/>
          <w:sz w:val="22"/>
          <w:szCs w:val="22"/>
        </w:rPr>
        <w:t xml:space="preserve"> ‘availability to start’.</w:t>
      </w:r>
    </w:p>
    <w:p w14:paraId="24691C67" w14:textId="77777777" w:rsidR="0052105A" w:rsidRDefault="0052105A">
      <w:pPr>
        <w:rPr>
          <w:rFonts w:ascii="Calibri" w:hAnsi="Calibri" w:cs="Calibri"/>
        </w:rPr>
      </w:pPr>
      <w:r>
        <w:rPr>
          <w:rFonts w:ascii="Calibri" w:hAnsi="Calibri" w:cs="Calibri"/>
        </w:rPr>
        <w:br w:type="page"/>
      </w:r>
    </w:p>
    <w:p w14:paraId="0ADCD5CF" w14:textId="2856C8FB" w:rsidR="00121E89" w:rsidRPr="00DD72A3" w:rsidRDefault="00121E89">
      <w:pPr>
        <w:rPr>
          <w:rFonts w:ascii="Calibri" w:hAnsi="Calibri" w:cs="Calibri"/>
          <w:sz w:val="22"/>
          <w:szCs w:val="22"/>
        </w:rPr>
      </w:pPr>
      <w:r w:rsidRPr="00DD72A3">
        <w:rPr>
          <w:rFonts w:ascii="Calibri" w:hAnsi="Calibri" w:cs="Calibri"/>
          <w:sz w:val="22"/>
          <w:szCs w:val="22"/>
        </w:rPr>
        <w:lastRenderedPageBreak/>
        <w:t xml:space="preserve">The main reason for </w:t>
      </w:r>
      <w:r w:rsidR="00831582" w:rsidRPr="00DD72A3">
        <w:rPr>
          <w:rFonts w:ascii="Calibri" w:hAnsi="Calibri" w:cs="Calibri"/>
          <w:sz w:val="22"/>
          <w:szCs w:val="22"/>
        </w:rPr>
        <w:t>contractor C’s bid</w:t>
      </w:r>
      <w:r w:rsidRPr="00DD72A3">
        <w:rPr>
          <w:rFonts w:ascii="Calibri" w:hAnsi="Calibri" w:cs="Calibri"/>
          <w:sz w:val="22"/>
          <w:szCs w:val="22"/>
        </w:rPr>
        <w:t xml:space="preserve"> being such an outlier is that it calculated ‘</w:t>
      </w:r>
      <w:r w:rsidR="008D7348" w:rsidRPr="00DD72A3">
        <w:rPr>
          <w:rFonts w:ascii="Calibri" w:hAnsi="Calibri" w:cs="Calibri"/>
          <w:sz w:val="22"/>
          <w:szCs w:val="22"/>
        </w:rPr>
        <w:t>preliminaries and recording, recording and completion</w:t>
      </w:r>
      <w:r w:rsidRPr="00DD72A3">
        <w:rPr>
          <w:rFonts w:ascii="Calibri" w:hAnsi="Calibri" w:cs="Calibri"/>
          <w:sz w:val="22"/>
          <w:szCs w:val="22"/>
        </w:rPr>
        <w:t xml:space="preserve">’ – </w:t>
      </w:r>
      <w:r w:rsidR="008D7348" w:rsidRPr="00DD72A3">
        <w:rPr>
          <w:rFonts w:ascii="Calibri" w:hAnsi="Calibri" w:cs="Calibri"/>
          <w:sz w:val="22"/>
          <w:szCs w:val="22"/>
        </w:rPr>
        <w:t xml:space="preserve">permits, welfare, site management, photographical recording, mortar samples, </w:t>
      </w:r>
      <w:proofErr w:type="spellStart"/>
      <w:r w:rsidR="008D7348" w:rsidRPr="00DD72A3">
        <w:rPr>
          <w:rFonts w:ascii="Calibri" w:hAnsi="Calibri" w:cs="Calibri"/>
          <w:sz w:val="22"/>
          <w:szCs w:val="22"/>
        </w:rPr>
        <w:t>herras</w:t>
      </w:r>
      <w:proofErr w:type="spellEnd"/>
      <w:r w:rsidR="008D7348" w:rsidRPr="00DD72A3">
        <w:rPr>
          <w:rFonts w:ascii="Calibri" w:hAnsi="Calibri" w:cs="Calibri"/>
          <w:sz w:val="22"/>
          <w:szCs w:val="22"/>
        </w:rPr>
        <w:t xml:space="preserve"> fencing etc. For the sake of completeness this difference should be challenged </w:t>
      </w:r>
      <w:r w:rsidR="0031116D" w:rsidRPr="00DD72A3">
        <w:rPr>
          <w:rFonts w:ascii="Calibri" w:hAnsi="Calibri" w:cs="Calibri"/>
          <w:sz w:val="22"/>
          <w:szCs w:val="22"/>
        </w:rPr>
        <w:t xml:space="preserve">to ensure where the misunderstanding is e.g. has </w:t>
      </w:r>
      <w:r w:rsidR="00831582" w:rsidRPr="00DD72A3">
        <w:rPr>
          <w:rFonts w:ascii="Calibri" w:hAnsi="Calibri" w:cs="Calibri"/>
          <w:sz w:val="22"/>
          <w:szCs w:val="22"/>
        </w:rPr>
        <w:t>C</w:t>
      </w:r>
      <w:r w:rsidR="0031116D" w:rsidRPr="00DD72A3">
        <w:rPr>
          <w:rFonts w:ascii="Calibri" w:hAnsi="Calibri" w:cs="Calibri"/>
          <w:sz w:val="22"/>
          <w:szCs w:val="22"/>
        </w:rPr>
        <w:t xml:space="preserve">ontractor </w:t>
      </w:r>
      <w:r w:rsidR="00831582" w:rsidRPr="00DD72A3">
        <w:rPr>
          <w:rFonts w:ascii="Calibri" w:hAnsi="Calibri" w:cs="Calibri"/>
          <w:sz w:val="22"/>
          <w:szCs w:val="22"/>
        </w:rPr>
        <w:t xml:space="preserve">C </w:t>
      </w:r>
      <w:r w:rsidR="0031116D" w:rsidRPr="00DD72A3">
        <w:rPr>
          <w:rFonts w:ascii="Calibri" w:hAnsi="Calibri" w:cs="Calibri"/>
          <w:sz w:val="22"/>
          <w:szCs w:val="22"/>
        </w:rPr>
        <w:t>over</w:t>
      </w:r>
      <w:r w:rsidR="00831582" w:rsidRPr="00DD72A3">
        <w:rPr>
          <w:rFonts w:ascii="Calibri" w:hAnsi="Calibri" w:cs="Calibri"/>
          <w:sz w:val="22"/>
          <w:szCs w:val="22"/>
        </w:rPr>
        <w:t>-</w:t>
      </w:r>
      <w:r w:rsidR="0031116D" w:rsidRPr="00DD72A3">
        <w:rPr>
          <w:rFonts w:ascii="Calibri" w:hAnsi="Calibri" w:cs="Calibri"/>
          <w:sz w:val="22"/>
          <w:szCs w:val="22"/>
        </w:rPr>
        <w:t>bid or have two contractors under-bid, which could leave the council open to future risk.</w:t>
      </w:r>
    </w:p>
    <w:p w14:paraId="6262DA00" w14:textId="4367A600" w:rsidR="00DD72A3" w:rsidRPr="00DD72A3" w:rsidRDefault="00B327EB">
      <w:pPr>
        <w:rPr>
          <w:rFonts w:ascii="Calibri" w:hAnsi="Calibri" w:cs="Calibri"/>
          <w:sz w:val="22"/>
          <w:szCs w:val="22"/>
        </w:rPr>
      </w:pPr>
      <w:r w:rsidRPr="00DD72A3">
        <w:rPr>
          <w:rFonts w:ascii="Calibri" w:hAnsi="Calibri" w:cs="Calibri"/>
          <w:sz w:val="22"/>
          <w:szCs w:val="22"/>
        </w:rPr>
        <w:t xml:space="preserve">Proceeding with the recommended </w:t>
      </w:r>
      <w:r w:rsidR="00831582" w:rsidRPr="00DD72A3">
        <w:rPr>
          <w:rFonts w:ascii="Calibri" w:hAnsi="Calibri" w:cs="Calibri"/>
          <w:sz w:val="22"/>
          <w:szCs w:val="22"/>
        </w:rPr>
        <w:t>C</w:t>
      </w:r>
      <w:r w:rsidRPr="00DD72A3">
        <w:rPr>
          <w:rFonts w:ascii="Calibri" w:hAnsi="Calibri" w:cs="Calibri"/>
          <w:sz w:val="22"/>
          <w:szCs w:val="22"/>
        </w:rPr>
        <w:t xml:space="preserve">ontractor </w:t>
      </w:r>
      <w:r w:rsidR="00831582" w:rsidRPr="00DD72A3">
        <w:rPr>
          <w:rFonts w:ascii="Calibri" w:hAnsi="Calibri" w:cs="Calibri"/>
          <w:sz w:val="22"/>
          <w:szCs w:val="22"/>
        </w:rPr>
        <w:t xml:space="preserve">B </w:t>
      </w:r>
      <w:r w:rsidRPr="00DD72A3">
        <w:rPr>
          <w:rFonts w:ascii="Calibri" w:hAnsi="Calibri" w:cs="Calibri"/>
          <w:sz w:val="22"/>
          <w:szCs w:val="22"/>
        </w:rPr>
        <w:t xml:space="preserve">for the work, inclusive of permits etc is estimated at £63,795 plus VAT. This includes a </w:t>
      </w:r>
      <w:r w:rsidR="00FF51C4" w:rsidRPr="00DD72A3">
        <w:rPr>
          <w:rFonts w:ascii="Calibri" w:hAnsi="Calibri" w:cs="Calibri"/>
          <w:sz w:val="22"/>
          <w:szCs w:val="22"/>
        </w:rPr>
        <w:t>£7,500</w:t>
      </w:r>
      <w:r w:rsidRPr="00DD72A3">
        <w:rPr>
          <w:rFonts w:ascii="Calibri" w:hAnsi="Calibri" w:cs="Calibri"/>
          <w:sz w:val="22"/>
          <w:szCs w:val="22"/>
        </w:rPr>
        <w:t xml:space="preserve"> </w:t>
      </w:r>
      <w:r w:rsidR="006C3B3D" w:rsidRPr="00DD72A3">
        <w:rPr>
          <w:rFonts w:ascii="Calibri" w:hAnsi="Calibri" w:cs="Calibri"/>
          <w:sz w:val="22"/>
          <w:szCs w:val="22"/>
        </w:rPr>
        <w:t xml:space="preserve">(13.3%) </w:t>
      </w:r>
      <w:r w:rsidRPr="00DD72A3">
        <w:rPr>
          <w:rFonts w:ascii="Calibri" w:hAnsi="Calibri" w:cs="Calibri"/>
          <w:sz w:val="22"/>
          <w:szCs w:val="22"/>
        </w:rPr>
        <w:t xml:space="preserve">contingency. </w:t>
      </w:r>
    </w:p>
    <w:p w14:paraId="15544842" w14:textId="38F90A29" w:rsidR="000F48EF" w:rsidRPr="00126F48" w:rsidRDefault="000F48EF" w:rsidP="0031116D">
      <w:pPr>
        <w:spacing w:after="0"/>
        <w:rPr>
          <w:rFonts w:ascii="Calibri" w:hAnsi="Calibri" w:cs="Calibri"/>
          <w:u w:val="single"/>
        </w:rPr>
      </w:pPr>
      <w:r w:rsidRPr="00126F48">
        <w:rPr>
          <w:rFonts w:ascii="Calibri" w:hAnsi="Calibri" w:cs="Calibri"/>
          <w:u w:val="single"/>
        </w:rPr>
        <w:t>Funding</w:t>
      </w:r>
    </w:p>
    <w:p w14:paraId="4FEAA6C3" w14:textId="77777777" w:rsidR="000F48EF" w:rsidRDefault="000F48EF" w:rsidP="0031116D">
      <w:pPr>
        <w:spacing w:after="0"/>
        <w:rPr>
          <w:rFonts w:ascii="Calibri" w:hAnsi="Calibri" w:cs="Calibri"/>
        </w:rPr>
      </w:pPr>
    </w:p>
    <w:p w14:paraId="5D6E0655" w14:textId="396D739B" w:rsidR="00DD72A3" w:rsidRDefault="00DD72A3" w:rsidP="0031116D">
      <w:pPr>
        <w:spacing w:after="0"/>
        <w:rPr>
          <w:rFonts w:ascii="Calibri" w:hAnsi="Calibri" w:cs="Calibri"/>
          <w:sz w:val="22"/>
          <w:szCs w:val="22"/>
        </w:rPr>
      </w:pPr>
      <w:r w:rsidRPr="00DD72A3">
        <w:rPr>
          <w:rFonts w:ascii="Calibri" w:hAnsi="Calibri" w:cs="Calibri"/>
          <w:sz w:val="22"/>
          <w:szCs w:val="22"/>
        </w:rPr>
        <w:t xml:space="preserve">Having trawled </w:t>
      </w:r>
      <w:r>
        <w:rPr>
          <w:rFonts w:ascii="Calibri" w:hAnsi="Calibri" w:cs="Calibri"/>
          <w:sz w:val="22"/>
          <w:szCs w:val="22"/>
        </w:rPr>
        <w:t>the internet and spoken to the PCC about their current fundraising</w:t>
      </w:r>
      <w:r w:rsidR="00126F48">
        <w:rPr>
          <w:rFonts w:ascii="Calibri" w:hAnsi="Calibri" w:cs="Calibri"/>
          <w:sz w:val="22"/>
          <w:szCs w:val="22"/>
        </w:rPr>
        <w:t>, at this stage a blank has been drawn. The main funding bodies suggested by Google AI are non-starters; see table.</w:t>
      </w:r>
    </w:p>
    <w:p w14:paraId="4177CCF2" w14:textId="77777777" w:rsidR="00DD72A3" w:rsidRPr="00DD72A3" w:rsidRDefault="00DD72A3" w:rsidP="0031116D">
      <w:pPr>
        <w:spacing w:after="0"/>
        <w:rPr>
          <w:rFonts w:ascii="Calibri" w:hAnsi="Calibri" w:cs="Calibri"/>
          <w:sz w:val="22"/>
          <w:szCs w:val="22"/>
        </w:rPr>
      </w:pPr>
    </w:p>
    <w:tbl>
      <w:tblPr>
        <w:tblStyle w:val="TableGrid"/>
        <w:tblW w:w="10485" w:type="dxa"/>
        <w:tblLook w:val="04A0" w:firstRow="1" w:lastRow="0" w:firstColumn="1" w:lastColumn="0" w:noHBand="0" w:noVBand="1"/>
      </w:tblPr>
      <w:tblGrid>
        <w:gridCol w:w="2972"/>
        <w:gridCol w:w="1210"/>
        <w:gridCol w:w="3043"/>
        <w:gridCol w:w="3260"/>
      </w:tblGrid>
      <w:tr w:rsidR="00DD72A3" w:rsidRPr="00295B89" w14:paraId="33B2BD9C" w14:textId="77777777" w:rsidTr="002B1AA7">
        <w:tc>
          <w:tcPr>
            <w:tcW w:w="2972" w:type="dxa"/>
          </w:tcPr>
          <w:p w14:paraId="40E2E9A5" w14:textId="77777777" w:rsidR="00DD72A3" w:rsidRPr="00295B89" w:rsidRDefault="00DD72A3" w:rsidP="002B1AA7">
            <w:pPr>
              <w:rPr>
                <w:rFonts w:ascii="Calibri" w:hAnsi="Calibri" w:cs="Calibri"/>
                <w:sz w:val="20"/>
                <w:szCs w:val="20"/>
              </w:rPr>
            </w:pPr>
            <w:r>
              <w:rPr>
                <w:rFonts w:ascii="Calibri" w:hAnsi="Calibri" w:cs="Calibri"/>
                <w:sz w:val="20"/>
                <w:szCs w:val="20"/>
              </w:rPr>
              <w:t>National Church Trust (NCT)</w:t>
            </w:r>
          </w:p>
        </w:tc>
        <w:tc>
          <w:tcPr>
            <w:tcW w:w="1210" w:type="dxa"/>
          </w:tcPr>
          <w:p w14:paraId="5C2A40F2" w14:textId="77777777" w:rsidR="00DD72A3" w:rsidRPr="00295B89" w:rsidRDefault="00DD72A3" w:rsidP="002B1AA7">
            <w:pPr>
              <w:rPr>
                <w:rFonts w:ascii="Calibri" w:hAnsi="Calibri" w:cs="Calibri"/>
                <w:sz w:val="20"/>
                <w:szCs w:val="20"/>
              </w:rPr>
            </w:pPr>
            <w:r>
              <w:rPr>
                <w:rFonts w:ascii="Calibri" w:hAnsi="Calibri" w:cs="Calibri"/>
                <w:sz w:val="20"/>
                <w:szCs w:val="20"/>
              </w:rPr>
              <w:t>Up to £50k</w:t>
            </w:r>
          </w:p>
        </w:tc>
        <w:tc>
          <w:tcPr>
            <w:tcW w:w="3043" w:type="dxa"/>
          </w:tcPr>
          <w:p w14:paraId="5C0A743B" w14:textId="77777777" w:rsidR="00DD72A3" w:rsidRPr="00295B89" w:rsidRDefault="00DD72A3" w:rsidP="002B1AA7">
            <w:pPr>
              <w:rPr>
                <w:rFonts w:ascii="Calibri" w:hAnsi="Calibri" w:cs="Calibri"/>
                <w:sz w:val="20"/>
                <w:szCs w:val="20"/>
              </w:rPr>
            </w:pPr>
            <w:r>
              <w:rPr>
                <w:rFonts w:ascii="Calibri" w:hAnsi="Calibri" w:cs="Calibri"/>
                <w:sz w:val="20"/>
                <w:szCs w:val="20"/>
              </w:rPr>
              <w:t>No evidence that wall repairs would meet criteria or that they have funded previously</w:t>
            </w:r>
          </w:p>
        </w:tc>
        <w:tc>
          <w:tcPr>
            <w:tcW w:w="3260" w:type="dxa"/>
          </w:tcPr>
          <w:p w14:paraId="1819DFFD" w14:textId="77777777" w:rsidR="00DD72A3" w:rsidRPr="00295B89" w:rsidRDefault="00DD72A3" w:rsidP="002B1AA7">
            <w:pPr>
              <w:rPr>
                <w:rFonts w:ascii="Calibri" w:hAnsi="Calibri" w:cs="Calibri"/>
                <w:sz w:val="20"/>
                <w:szCs w:val="20"/>
              </w:rPr>
            </w:pPr>
            <w:proofErr w:type="spellStart"/>
            <w:proofErr w:type="gramStart"/>
            <w:r>
              <w:rPr>
                <w:rFonts w:ascii="Calibri" w:hAnsi="Calibri" w:cs="Calibri"/>
                <w:sz w:val="20"/>
                <w:szCs w:val="20"/>
              </w:rPr>
              <w:t>St.Mary’s</w:t>
            </w:r>
            <w:proofErr w:type="spellEnd"/>
            <w:proofErr w:type="gramEnd"/>
            <w:r>
              <w:rPr>
                <w:rFonts w:ascii="Calibri" w:hAnsi="Calibri" w:cs="Calibri"/>
                <w:sz w:val="20"/>
                <w:szCs w:val="20"/>
              </w:rPr>
              <w:t xml:space="preserve"> turned down for grant to support quinquennial report remediation.</w:t>
            </w:r>
          </w:p>
        </w:tc>
      </w:tr>
      <w:tr w:rsidR="00DD72A3" w:rsidRPr="00295B89" w14:paraId="47DD7C0F" w14:textId="77777777" w:rsidTr="002B1AA7">
        <w:tc>
          <w:tcPr>
            <w:tcW w:w="2972" w:type="dxa"/>
          </w:tcPr>
          <w:p w14:paraId="6B20D533" w14:textId="77777777" w:rsidR="00DD72A3" w:rsidRPr="00295B89" w:rsidRDefault="00DD72A3" w:rsidP="002B1AA7">
            <w:pPr>
              <w:rPr>
                <w:rFonts w:ascii="Calibri" w:hAnsi="Calibri" w:cs="Calibri"/>
                <w:sz w:val="20"/>
                <w:szCs w:val="20"/>
              </w:rPr>
            </w:pPr>
            <w:proofErr w:type="spellStart"/>
            <w:r>
              <w:rPr>
                <w:rFonts w:ascii="Calibri" w:hAnsi="Calibri" w:cs="Calibri"/>
                <w:sz w:val="20"/>
                <w:szCs w:val="20"/>
              </w:rPr>
              <w:t>ChurchCare</w:t>
            </w:r>
            <w:proofErr w:type="spellEnd"/>
            <w:r>
              <w:rPr>
                <w:rFonts w:ascii="Calibri" w:hAnsi="Calibri" w:cs="Calibri"/>
                <w:sz w:val="20"/>
                <w:szCs w:val="20"/>
              </w:rPr>
              <w:t xml:space="preserve"> (in conjunction with the National Lottery and the Pilgrims Trust)</w:t>
            </w:r>
          </w:p>
        </w:tc>
        <w:tc>
          <w:tcPr>
            <w:tcW w:w="1210" w:type="dxa"/>
          </w:tcPr>
          <w:p w14:paraId="659FE2F6" w14:textId="77777777" w:rsidR="00DD72A3" w:rsidRPr="00295B89" w:rsidRDefault="00DD72A3" w:rsidP="002B1AA7">
            <w:pPr>
              <w:rPr>
                <w:rFonts w:ascii="Calibri" w:hAnsi="Calibri" w:cs="Calibri"/>
                <w:sz w:val="20"/>
                <w:szCs w:val="20"/>
              </w:rPr>
            </w:pPr>
            <w:r>
              <w:rPr>
                <w:rFonts w:ascii="Calibri" w:hAnsi="Calibri" w:cs="Calibri"/>
                <w:sz w:val="20"/>
                <w:szCs w:val="20"/>
              </w:rPr>
              <w:t>Up to £10k</w:t>
            </w:r>
          </w:p>
        </w:tc>
        <w:tc>
          <w:tcPr>
            <w:tcW w:w="3043" w:type="dxa"/>
          </w:tcPr>
          <w:p w14:paraId="41D2E4B0" w14:textId="77777777" w:rsidR="00DD72A3" w:rsidRPr="00295B89" w:rsidRDefault="00DD72A3" w:rsidP="002B1AA7">
            <w:pPr>
              <w:rPr>
                <w:rFonts w:ascii="Calibri" w:hAnsi="Calibri" w:cs="Calibri"/>
                <w:sz w:val="20"/>
                <w:szCs w:val="20"/>
              </w:rPr>
            </w:pPr>
            <w:r>
              <w:rPr>
                <w:rFonts w:ascii="Calibri" w:hAnsi="Calibri" w:cs="Calibri"/>
                <w:sz w:val="20"/>
                <w:szCs w:val="20"/>
              </w:rPr>
              <w:t>Churchyard walls are covered under its churchyard structures category. However, the churchyard must be under the responsibility of the PCC (</w:t>
            </w:r>
            <w:r w:rsidRPr="000C7EE9">
              <w:rPr>
                <w:rFonts w:ascii="Calibri" w:hAnsi="Calibri" w:cs="Calibri"/>
                <w:color w:val="EE0000"/>
                <w:sz w:val="20"/>
                <w:szCs w:val="20"/>
              </w:rPr>
              <w:t>X</w:t>
            </w:r>
            <w:r>
              <w:rPr>
                <w:rFonts w:ascii="Calibri" w:hAnsi="Calibri" w:cs="Calibri"/>
                <w:sz w:val="20"/>
                <w:szCs w:val="20"/>
              </w:rPr>
              <w:t>) and be separately listed (</w:t>
            </w:r>
            <w:r w:rsidRPr="000C7EE9">
              <w:rPr>
                <w:rFonts w:ascii="Calibri" w:hAnsi="Calibri" w:cs="Calibri"/>
                <w:color w:val="EE0000"/>
                <w:sz w:val="20"/>
                <w:szCs w:val="20"/>
              </w:rPr>
              <w:t>X</w:t>
            </w:r>
            <w:r>
              <w:rPr>
                <w:rFonts w:ascii="Calibri" w:hAnsi="Calibri" w:cs="Calibri"/>
                <w:sz w:val="20"/>
                <w:szCs w:val="20"/>
              </w:rPr>
              <w:t>). Next deadline: 13-Oct-25, with a decision by 28-Nov-25.</w:t>
            </w:r>
          </w:p>
        </w:tc>
        <w:tc>
          <w:tcPr>
            <w:tcW w:w="3260" w:type="dxa"/>
          </w:tcPr>
          <w:p w14:paraId="529C0E4D" w14:textId="77777777" w:rsidR="00DD72A3" w:rsidRPr="00295B89" w:rsidRDefault="00DD72A3" w:rsidP="002B1AA7">
            <w:pPr>
              <w:rPr>
                <w:rFonts w:ascii="Calibri" w:hAnsi="Calibri" w:cs="Calibri"/>
                <w:sz w:val="20"/>
                <w:szCs w:val="20"/>
              </w:rPr>
            </w:pPr>
            <w:r>
              <w:rPr>
                <w:rFonts w:ascii="Calibri" w:hAnsi="Calibri" w:cs="Calibri"/>
                <w:sz w:val="20"/>
                <w:szCs w:val="20"/>
              </w:rPr>
              <w:t>No application made.</w:t>
            </w:r>
          </w:p>
        </w:tc>
      </w:tr>
      <w:tr w:rsidR="00DD72A3" w:rsidRPr="00295B89" w14:paraId="223651C3" w14:textId="77777777" w:rsidTr="002B1AA7">
        <w:tc>
          <w:tcPr>
            <w:tcW w:w="2972" w:type="dxa"/>
          </w:tcPr>
          <w:p w14:paraId="16ED2E5B" w14:textId="77777777" w:rsidR="00DD72A3" w:rsidRPr="00295B89" w:rsidRDefault="00DD72A3" w:rsidP="002B1AA7">
            <w:pPr>
              <w:rPr>
                <w:rFonts w:ascii="Calibri" w:hAnsi="Calibri" w:cs="Calibri"/>
                <w:sz w:val="20"/>
                <w:szCs w:val="20"/>
              </w:rPr>
            </w:pPr>
            <w:r>
              <w:rPr>
                <w:rFonts w:ascii="Calibri" w:hAnsi="Calibri" w:cs="Calibri"/>
                <w:sz w:val="20"/>
                <w:szCs w:val="20"/>
              </w:rPr>
              <w:t>Listed Places of Worship</w:t>
            </w:r>
          </w:p>
        </w:tc>
        <w:tc>
          <w:tcPr>
            <w:tcW w:w="1210" w:type="dxa"/>
          </w:tcPr>
          <w:p w14:paraId="241829E9" w14:textId="77777777" w:rsidR="00DD72A3" w:rsidRPr="00295B89" w:rsidRDefault="00DD72A3" w:rsidP="002B1AA7">
            <w:pPr>
              <w:rPr>
                <w:rFonts w:ascii="Calibri" w:hAnsi="Calibri" w:cs="Calibri"/>
                <w:sz w:val="20"/>
                <w:szCs w:val="20"/>
              </w:rPr>
            </w:pPr>
          </w:p>
        </w:tc>
        <w:tc>
          <w:tcPr>
            <w:tcW w:w="3043" w:type="dxa"/>
          </w:tcPr>
          <w:p w14:paraId="4E0C82BF" w14:textId="79F09BF8" w:rsidR="00DD72A3" w:rsidRPr="00295B89" w:rsidRDefault="00DD72A3" w:rsidP="002B1AA7">
            <w:pPr>
              <w:rPr>
                <w:rFonts w:ascii="Calibri" w:hAnsi="Calibri" w:cs="Calibri"/>
                <w:sz w:val="20"/>
                <w:szCs w:val="20"/>
              </w:rPr>
            </w:pPr>
            <w:r>
              <w:rPr>
                <w:rFonts w:ascii="Calibri" w:hAnsi="Calibri" w:cs="Calibri"/>
                <w:sz w:val="20"/>
                <w:szCs w:val="20"/>
              </w:rPr>
              <w:t xml:space="preserve">Listed buildings only. </w:t>
            </w:r>
          </w:p>
        </w:tc>
        <w:tc>
          <w:tcPr>
            <w:tcW w:w="3260" w:type="dxa"/>
          </w:tcPr>
          <w:p w14:paraId="5100AE94" w14:textId="77777777" w:rsidR="00DD72A3" w:rsidRPr="00295B89" w:rsidRDefault="00DD72A3" w:rsidP="002B1AA7">
            <w:pPr>
              <w:rPr>
                <w:rFonts w:ascii="Calibri" w:hAnsi="Calibri" w:cs="Calibri"/>
                <w:sz w:val="20"/>
                <w:szCs w:val="20"/>
              </w:rPr>
            </w:pPr>
          </w:p>
        </w:tc>
      </w:tr>
      <w:tr w:rsidR="00DD72A3" w:rsidRPr="00295B89" w14:paraId="2C9F1F56" w14:textId="77777777" w:rsidTr="002B1AA7">
        <w:tc>
          <w:tcPr>
            <w:tcW w:w="2972" w:type="dxa"/>
          </w:tcPr>
          <w:p w14:paraId="18EB7232" w14:textId="77777777" w:rsidR="00DD72A3" w:rsidRPr="00295B89" w:rsidRDefault="00DD72A3" w:rsidP="002B1AA7">
            <w:pPr>
              <w:rPr>
                <w:rFonts w:ascii="Calibri" w:hAnsi="Calibri" w:cs="Calibri"/>
                <w:sz w:val="20"/>
                <w:szCs w:val="20"/>
              </w:rPr>
            </w:pPr>
            <w:r>
              <w:rPr>
                <w:rFonts w:ascii="Calibri" w:hAnsi="Calibri" w:cs="Calibri"/>
                <w:sz w:val="20"/>
                <w:szCs w:val="20"/>
              </w:rPr>
              <w:t>The Benefact Trust – building Improvement Grant</w:t>
            </w:r>
          </w:p>
        </w:tc>
        <w:tc>
          <w:tcPr>
            <w:tcW w:w="1210" w:type="dxa"/>
          </w:tcPr>
          <w:p w14:paraId="1B889F2A" w14:textId="77777777" w:rsidR="00DD72A3" w:rsidRPr="00295B89" w:rsidRDefault="00DD72A3" w:rsidP="002B1AA7">
            <w:pPr>
              <w:rPr>
                <w:rFonts w:ascii="Calibri" w:hAnsi="Calibri" w:cs="Calibri"/>
                <w:sz w:val="20"/>
                <w:szCs w:val="20"/>
              </w:rPr>
            </w:pPr>
          </w:p>
        </w:tc>
        <w:tc>
          <w:tcPr>
            <w:tcW w:w="3043" w:type="dxa"/>
          </w:tcPr>
          <w:p w14:paraId="634ECE2B" w14:textId="77777777" w:rsidR="00DD72A3" w:rsidRPr="00295B89" w:rsidRDefault="00DD72A3" w:rsidP="002B1AA7">
            <w:pPr>
              <w:rPr>
                <w:rFonts w:ascii="Calibri" w:hAnsi="Calibri" w:cs="Calibri"/>
                <w:sz w:val="20"/>
                <w:szCs w:val="20"/>
              </w:rPr>
            </w:pPr>
            <w:r>
              <w:rPr>
                <w:rFonts w:ascii="Calibri" w:hAnsi="Calibri" w:cs="Calibri"/>
                <w:sz w:val="20"/>
                <w:szCs w:val="20"/>
              </w:rPr>
              <w:t>Only available to Christian charities and places of worship.</w:t>
            </w:r>
          </w:p>
        </w:tc>
        <w:tc>
          <w:tcPr>
            <w:tcW w:w="3260" w:type="dxa"/>
          </w:tcPr>
          <w:p w14:paraId="61484580" w14:textId="77777777" w:rsidR="00DD72A3" w:rsidRPr="00295B89" w:rsidRDefault="00DD72A3" w:rsidP="002B1AA7">
            <w:pPr>
              <w:rPr>
                <w:rFonts w:ascii="Calibri" w:hAnsi="Calibri" w:cs="Calibri"/>
                <w:sz w:val="20"/>
                <w:szCs w:val="20"/>
              </w:rPr>
            </w:pPr>
            <w:r>
              <w:rPr>
                <w:rFonts w:ascii="Calibri" w:hAnsi="Calibri" w:cs="Calibri"/>
                <w:sz w:val="20"/>
                <w:szCs w:val="20"/>
              </w:rPr>
              <w:t>St Mary’s has obtained funding to part-support the quinquennial report remediation.</w:t>
            </w:r>
          </w:p>
        </w:tc>
      </w:tr>
    </w:tbl>
    <w:p w14:paraId="214721A8" w14:textId="77777777" w:rsidR="00DD72A3" w:rsidRDefault="00DD72A3" w:rsidP="0031116D">
      <w:pPr>
        <w:spacing w:after="0"/>
        <w:rPr>
          <w:rFonts w:ascii="Calibri" w:hAnsi="Calibri" w:cs="Calibri"/>
        </w:rPr>
      </w:pPr>
    </w:p>
    <w:p w14:paraId="03A5ED5D" w14:textId="27073BFE" w:rsidR="00126F48" w:rsidRDefault="00126F48" w:rsidP="0031116D">
      <w:pPr>
        <w:spacing w:after="0"/>
        <w:rPr>
          <w:rFonts w:ascii="Calibri" w:hAnsi="Calibri" w:cs="Calibri"/>
          <w:sz w:val="22"/>
          <w:szCs w:val="22"/>
        </w:rPr>
      </w:pPr>
      <w:r>
        <w:rPr>
          <w:rFonts w:ascii="Calibri" w:hAnsi="Calibri" w:cs="Calibri"/>
          <w:sz w:val="22"/>
          <w:szCs w:val="22"/>
        </w:rPr>
        <w:t>I have yet to identify a closed churchyard wall repair undertaken by a parish council. Where there are reports, either a PCC or a district council is responsible.</w:t>
      </w:r>
    </w:p>
    <w:p w14:paraId="0A88AAB8" w14:textId="77777777" w:rsidR="00126F48" w:rsidRDefault="00126F48" w:rsidP="0031116D">
      <w:pPr>
        <w:spacing w:after="0"/>
        <w:rPr>
          <w:rFonts w:ascii="Calibri" w:hAnsi="Calibri" w:cs="Calibri"/>
          <w:sz w:val="22"/>
          <w:szCs w:val="22"/>
        </w:rPr>
      </w:pPr>
    </w:p>
    <w:p w14:paraId="7715BF1E" w14:textId="0C74E964" w:rsidR="00126F48" w:rsidRPr="00126F48" w:rsidRDefault="00126F48" w:rsidP="0031116D">
      <w:pPr>
        <w:spacing w:after="0"/>
        <w:rPr>
          <w:rFonts w:ascii="Calibri" w:hAnsi="Calibri" w:cs="Calibri"/>
          <w:sz w:val="22"/>
          <w:szCs w:val="22"/>
        </w:rPr>
      </w:pPr>
      <w:r>
        <w:rPr>
          <w:rFonts w:ascii="Calibri" w:hAnsi="Calibri" w:cs="Calibri"/>
          <w:sz w:val="22"/>
          <w:szCs w:val="22"/>
        </w:rPr>
        <w:t>Research continues, but we may be faced with borrowing the money. The two current loans run off in Jun-28 and Dec-30 respectively. We also hold sufficient monies in the specific PWLB reserve to repay the second loan at the time the first loan is repaid in the normal course.</w:t>
      </w:r>
    </w:p>
    <w:p w14:paraId="7C0C0294" w14:textId="77777777" w:rsidR="000F48EF" w:rsidRDefault="000F48EF" w:rsidP="0031116D">
      <w:pPr>
        <w:spacing w:after="0"/>
        <w:rPr>
          <w:rFonts w:ascii="Calibri" w:hAnsi="Calibri" w:cs="Calibri"/>
        </w:rPr>
      </w:pPr>
    </w:p>
    <w:p w14:paraId="68040B85" w14:textId="5D64B8A2" w:rsidR="0031116D" w:rsidRPr="00126F48" w:rsidRDefault="0031116D" w:rsidP="0031116D">
      <w:pPr>
        <w:spacing w:after="0"/>
        <w:rPr>
          <w:rFonts w:ascii="Calibri" w:hAnsi="Calibri" w:cs="Calibri"/>
          <w:u w:val="single"/>
        </w:rPr>
      </w:pPr>
      <w:r w:rsidRPr="00126F48">
        <w:rPr>
          <w:rFonts w:ascii="Calibri" w:hAnsi="Calibri" w:cs="Calibri"/>
          <w:u w:val="single"/>
        </w:rPr>
        <w:t>Next steps</w:t>
      </w:r>
    </w:p>
    <w:p w14:paraId="6FFB54B5" w14:textId="001082ED" w:rsidR="0031116D" w:rsidRPr="00DD72A3" w:rsidRDefault="0031116D" w:rsidP="0031116D">
      <w:pPr>
        <w:pStyle w:val="ListParagraph"/>
        <w:numPr>
          <w:ilvl w:val="0"/>
          <w:numId w:val="1"/>
        </w:numPr>
        <w:spacing w:after="0"/>
        <w:rPr>
          <w:rFonts w:ascii="Calibri" w:hAnsi="Calibri" w:cs="Calibri"/>
          <w:sz w:val="22"/>
          <w:szCs w:val="22"/>
        </w:rPr>
      </w:pPr>
      <w:r w:rsidRPr="00DD72A3">
        <w:rPr>
          <w:rFonts w:ascii="Calibri" w:hAnsi="Calibri" w:cs="Calibri"/>
          <w:sz w:val="22"/>
          <w:szCs w:val="22"/>
        </w:rPr>
        <w:t xml:space="preserve">Bid component due diligence e.g. checking </w:t>
      </w:r>
      <w:r w:rsidR="00DD72A3" w:rsidRPr="00DD72A3">
        <w:rPr>
          <w:rFonts w:ascii="Calibri" w:hAnsi="Calibri" w:cs="Calibri"/>
          <w:sz w:val="22"/>
          <w:szCs w:val="22"/>
        </w:rPr>
        <w:t xml:space="preserve">key </w:t>
      </w:r>
      <w:r w:rsidRPr="00DD72A3">
        <w:rPr>
          <w:rFonts w:ascii="Calibri" w:hAnsi="Calibri" w:cs="Calibri"/>
          <w:sz w:val="22"/>
          <w:szCs w:val="22"/>
        </w:rPr>
        <w:t>inconsistencies between the bids. Wright Consulting to do this</w:t>
      </w:r>
      <w:r w:rsidR="00DD72A3" w:rsidRPr="00DD72A3">
        <w:rPr>
          <w:rFonts w:ascii="Calibri" w:hAnsi="Calibri" w:cs="Calibri"/>
          <w:sz w:val="22"/>
          <w:szCs w:val="22"/>
        </w:rPr>
        <w:t>, especially between contractors A and B.</w:t>
      </w:r>
    </w:p>
    <w:p w14:paraId="3EC56740" w14:textId="244E4F58" w:rsidR="0031116D" w:rsidRPr="00DD72A3" w:rsidRDefault="0031116D" w:rsidP="0031116D">
      <w:pPr>
        <w:pStyle w:val="ListParagraph"/>
        <w:numPr>
          <w:ilvl w:val="0"/>
          <w:numId w:val="1"/>
        </w:numPr>
        <w:spacing w:after="0"/>
        <w:rPr>
          <w:rFonts w:ascii="Calibri" w:hAnsi="Calibri" w:cs="Calibri"/>
          <w:sz w:val="22"/>
          <w:szCs w:val="22"/>
        </w:rPr>
      </w:pPr>
      <w:r w:rsidRPr="00DD72A3">
        <w:rPr>
          <w:rFonts w:ascii="Calibri" w:hAnsi="Calibri" w:cs="Calibri"/>
          <w:sz w:val="22"/>
          <w:szCs w:val="22"/>
        </w:rPr>
        <w:t>Completion of funding source analysis</w:t>
      </w:r>
    </w:p>
    <w:p w14:paraId="138125FA" w14:textId="4BDA5A68" w:rsidR="0031116D" w:rsidRPr="00DD72A3" w:rsidRDefault="0031116D" w:rsidP="0031116D">
      <w:pPr>
        <w:pStyle w:val="ListParagraph"/>
        <w:numPr>
          <w:ilvl w:val="1"/>
          <w:numId w:val="1"/>
        </w:numPr>
        <w:spacing w:after="0"/>
        <w:rPr>
          <w:rFonts w:ascii="Calibri" w:hAnsi="Calibri" w:cs="Calibri"/>
          <w:sz w:val="22"/>
          <w:szCs w:val="22"/>
        </w:rPr>
      </w:pPr>
      <w:r w:rsidRPr="00DD72A3">
        <w:rPr>
          <w:rFonts w:ascii="Calibri" w:hAnsi="Calibri" w:cs="Calibri"/>
          <w:sz w:val="22"/>
          <w:szCs w:val="22"/>
        </w:rPr>
        <w:t>The clerk asking SALC and NALC for examples of the funding of churchyard walls repaired by parish councils. This may well draw a blank, but we do need to ask the question.</w:t>
      </w:r>
      <w:r w:rsidR="000F48EF" w:rsidRPr="00DD72A3">
        <w:rPr>
          <w:rFonts w:ascii="Calibri" w:hAnsi="Calibri" w:cs="Calibri"/>
          <w:sz w:val="22"/>
          <w:szCs w:val="22"/>
        </w:rPr>
        <w:t xml:space="preserve"> (In hand).</w:t>
      </w:r>
    </w:p>
    <w:p w14:paraId="4929CF5C" w14:textId="73CBF31C" w:rsidR="0031116D" w:rsidRPr="00DD72A3" w:rsidRDefault="0031116D" w:rsidP="0031116D">
      <w:pPr>
        <w:pStyle w:val="ListParagraph"/>
        <w:numPr>
          <w:ilvl w:val="1"/>
          <w:numId w:val="1"/>
        </w:numPr>
        <w:spacing w:after="0"/>
        <w:rPr>
          <w:rFonts w:ascii="Calibri" w:hAnsi="Calibri" w:cs="Calibri"/>
          <w:sz w:val="22"/>
          <w:szCs w:val="22"/>
        </w:rPr>
      </w:pPr>
      <w:r w:rsidRPr="00DD72A3">
        <w:rPr>
          <w:rFonts w:ascii="Calibri" w:hAnsi="Calibri" w:cs="Calibri"/>
          <w:sz w:val="22"/>
          <w:szCs w:val="22"/>
        </w:rPr>
        <w:t>Continue to review possible funding sources beyond those listed above, albeit at this stage grant funding is unlikely.</w:t>
      </w:r>
    </w:p>
    <w:p w14:paraId="45470C8A" w14:textId="39EBE92A" w:rsidR="0031116D" w:rsidRPr="00DD72A3" w:rsidRDefault="0031116D" w:rsidP="0031116D">
      <w:pPr>
        <w:pStyle w:val="ListParagraph"/>
        <w:numPr>
          <w:ilvl w:val="1"/>
          <w:numId w:val="1"/>
        </w:numPr>
        <w:spacing w:after="0"/>
        <w:rPr>
          <w:rFonts w:ascii="Calibri" w:hAnsi="Calibri" w:cs="Calibri"/>
          <w:sz w:val="22"/>
          <w:szCs w:val="22"/>
        </w:rPr>
      </w:pPr>
      <w:r w:rsidRPr="00DD72A3">
        <w:rPr>
          <w:rFonts w:ascii="Calibri" w:hAnsi="Calibri" w:cs="Calibri"/>
          <w:sz w:val="22"/>
          <w:szCs w:val="22"/>
        </w:rPr>
        <w:t>Determine the cost of a loan from the PWLB to fund to work and consider how best to limit the impact of repayments on the precept.</w:t>
      </w:r>
      <w:r w:rsidR="00126F48">
        <w:rPr>
          <w:rFonts w:ascii="Calibri" w:hAnsi="Calibri" w:cs="Calibri"/>
          <w:sz w:val="22"/>
          <w:szCs w:val="22"/>
        </w:rPr>
        <w:t xml:space="preserve"> (With some retainer for Wright Consulting, I suggest we’re looking for say £70k repayable over 10 years, assuming Contractor B is selected).</w:t>
      </w:r>
    </w:p>
    <w:p w14:paraId="1B9D5E44" w14:textId="3A742BDA" w:rsidR="00DD72A3" w:rsidRDefault="00DD72A3" w:rsidP="00DD72A3">
      <w:pPr>
        <w:pStyle w:val="ListParagraph"/>
        <w:numPr>
          <w:ilvl w:val="0"/>
          <w:numId w:val="1"/>
        </w:numPr>
        <w:spacing w:after="0"/>
        <w:rPr>
          <w:rFonts w:ascii="Calibri" w:hAnsi="Calibri" w:cs="Calibri"/>
          <w:sz w:val="22"/>
          <w:szCs w:val="22"/>
        </w:rPr>
      </w:pPr>
      <w:r w:rsidRPr="00DD72A3">
        <w:rPr>
          <w:rFonts w:ascii="Calibri" w:hAnsi="Calibri" w:cs="Calibri"/>
          <w:sz w:val="22"/>
          <w:szCs w:val="22"/>
        </w:rPr>
        <w:t>Determine a preferred window for the work in 2026 (or 2027), given other parish events/projects e.g. avoid the work being scheduled to coincide with the open gardens’ week-end.</w:t>
      </w:r>
    </w:p>
    <w:p w14:paraId="2BDCCCC2" w14:textId="77777777" w:rsidR="00126F48" w:rsidRDefault="00126F48" w:rsidP="00126F48">
      <w:pPr>
        <w:spacing w:after="0"/>
        <w:rPr>
          <w:rFonts w:ascii="Calibri" w:hAnsi="Calibri" w:cs="Calibri"/>
          <w:sz w:val="22"/>
          <w:szCs w:val="22"/>
        </w:rPr>
      </w:pPr>
    </w:p>
    <w:p w14:paraId="76D4BFD7" w14:textId="79042B56" w:rsidR="00126F48" w:rsidRPr="00126F48" w:rsidRDefault="00126F48" w:rsidP="00126F48">
      <w:pPr>
        <w:spacing w:after="0"/>
        <w:rPr>
          <w:rFonts w:ascii="Calibri" w:hAnsi="Calibri" w:cs="Calibri"/>
          <w:sz w:val="22"/>
          <w:szCs w:val="22"/>
        </w:rPr>
      </w:pPr>
      <w:r>
        <w:rPr>
          <w:rFonts w:ascii="Calibri" w:hAnsi="Calibri" w:cs="Calibri"/>
          <w:sz w:val="22"/>
          <w:szCs w:val="22"/>
        </w:rPr>
        <w:t>Cllr Mills</w:t>
      </w:r>
    </w:p>
    <w:sectPr w:rsidR="00126F48" w:rsidRPr="00126F48" w:rsidSect="007843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43261"/>
    <w:multiLevelType w:val="hybridMultilevel"/>
    <w:tmpl w:val="045457D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5748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27"/>
    <w:rsid w:val="000F48EF"/>
    <w:rsid w:val="00121E89"/>
    <w:rsid w:val="00126F48"/>
    <w:rsid w:val="0031116D"/>
    <w:rsid w:val="00403F55"/>
    <w:rsid w:val="00452931"/>
    <w:rsid w:val="0052105A"/>
    <w:rsid w:val="00557D0A"/>
    <w:rsid w:val="005D07A5"/>
    <w:rsid w:val="005F6D2B"/>
    <w:rsid w:val="006771C8"/>
    <w:rsid w:val="00690A68"/>
    <w:rsid w:val="006C3B3D"/>
    <w:rsid w:val="007843D8"/>
    <w:rsid w:val="00831582"/>
    <w:rsid w:val="008D7348"/>
    <w:rsid w:val="00AD2C96"/>
    <w:rsid w:val="00B327EB"/>
    <w:rsid w:val="00BB5227"/>
    <w:rsid w:val="00DD72A3"/>
    <w:rsid w:val="00ED358A"/>
    <w:rsid w:val="00F57025"/>
    <w:rsid w:val="00FF5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5C8F6F"/>
  <w15:chartTrackingRefBased/>
  <w15:docId w15:val="{C3C90A49-5648-864A-BC9F-B39662CC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227"/>
    <w:rPr>
      <w:rFonts w:eastAsiaTheme="majorEastAsia" w:cstheme="majorBidi"/>
      <w:color w:val="272727" w:themeColor="text1" w:themeTint="D8"/>
    </w:rPr>
  </w:style>
  <w:style w:type="paragraph" w:styleId="Title">
    <w:name w:val="Title"/>
    <w:basedOn w:val="Normal"/>
    <w:next w:val="Normal"/>
    <w:link w:val="TitleChar"/>
    <w:uiPriority w:val="10"/>
    <w:qFormat/>
    <w:rsid w:val="00BB5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227"/>
    <w:pPr>
      <w:spacing w:before="160"/>
      <w:jc w:val="center"/>
    </w:pPr>
    <w:rPr>
      <w:i/>
      <w:iCs/>
      <w:color w:val="404040" w:themeColor="text1" w:themeTint="BF"/>
    </w:rPr>
  </w:style>
  <w:style w:type="character" w:customStyle="1" w:styleId="QuoteChar">
    <w:name w:val="Quote Char"/>
    <w:basedOn w:val="DefaultParagraphFont"/>
    <w:link w:val="Quote"/>
    <w:uiPriority w:val="29"/>
    <w:rsid w:val="00BB5227"/>
    <w:rPr>
      <w:i/>
      <w:iCs/>
      <w:color w:val="404040" w:themeColor="text1" w:themeTint="BF"/>
    </w:rPr>
  </w:style>
  <w:style w:type="paragraph" w:styleId="ListParagraph">
    <w:name w:val="List Paragraph"/>
    <w:basedOn w:val="Normal"/>
    <w:uiPriority w:val="34"/>
    <w:qFormat/>
    <w:rsid w:val="00BB5227"/>
    <w:pPr>
      <w:ind w:left="720"/>
      <w:contextualSpacing/>
    </w:pPr>
  </w:style>
  <w:style w:type="character" w:styleId="IntenseEmphasis">
    <w:name w:val="Intense Emphasis"/>
    <w:basedOn w:val="DefaultParagraphFont"/>
    <w:uiPriority w:val="21"/>
    <w:qFormat/>
    <w:rsid w:val="00BB5227"/>
    <w:rPr>
      <w:i/>
      <w:iCs/>
      <w:color w:val="0F4761" w:themeColor="accent1" w:themeShade="BF"/>
    </w:rPr>
  </w:style>
  <w:style w:type="paragraph" w:styleId="IntenseQuote">
    <w:name w:val="Intense Quote"/>
    <w:basedOn w:val="Normal"/>
    <w:next w:val="Normal"/>
    <w:link w:val="IntenseQuoteChar"/>
    <w:uiPriority w:val="30"/>
    <w:qFormat/>
    <w:rsid w:val="00BB5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227"/>
    <w:rPr>
      <w:i/>
      <w:iCs/>
      <w:color w:val="0F4761" w:themeColor="accent1" w:themeShade="BF"/>
    </w:rPr>
  </w:style>
  <w:style w:type="character" w:styleId="IntenseReference">
    <w:name w:val="Intense Reference"/>
    <w:basedOn w:val="DefaultParagraphFont"/>
    <w:uiPriority w:val="32"/>
    <w:qFormat/>
    <w:rsid w:val="00BB5227"/>
    <w:rPr>
      <w:b/>
      <w:bCs/>
      <w:smallCaps/>
      <w:color w:val="0F4761" w:themeColor="accent1" w:themeShade="BF"/>
      <w:spacing w:val="5"/>
    </w:rPr>
  </w:style>
  <w:style w:type="table" w:styleId="TableGrid">
    <w:name w:val="Table Grid"/>
    <w:basedOn w:val="TableNormal"/>
    <w:uiPriority w:val="39"/>
    <w:rsid w:val="00ED3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Mills</dc:creator>
  <cp:keywords/>
  <dc:description/>
  <cp:lastModifiedBy>Nick Mills</cp:lastModifiedBy>
  <cp:revision>11</cp:revision>
  <dcterms:created xsi:type="dcterms:W3CDTF">2025-08-23T04:56:00Z</dcterms:created>
  <dcterms:modified xsi:type="dcterms:W3CDTF">2025-08-26T13:10:00Z</dcterms:modified>
</cp:coreProperties>
</file>