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A73A34" w:rsidRPr="00A73A34" w14:paraId="4AB79E26" w14:textId="77777777">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A34" w:rsidRPr="00A73A34" w14:paraId="581B56DC"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A73A34" w:rsidRPr="00A73A34" w14:paraId="2EC05D6B" w14:textId="77777777">
                    <w:trPr>
                      <w:tblCellSpacing w:w="0" w:type="dxa"/>
                      <w:jc w:val="center"/>
                    </w:trPr>
                    <w:tc>
                      <w:tcPr>
                        <w:tcW w:w="5000" w:type="pct"/>
                        <w:tcBorders>
                          <w:top w:val="single" w:sz="2" w:space="0" w:color="auto"/>
                          <w:left w:val="single" w:sz="2" w:space="0" w:color="auto"/>
                          <w:bottom w:val="single" w:sz="2" w:space="0" w:color="auto"/>
                          <w:right w:val="single" w:sz="2" w:space="0" w:color="auto"/>
                        </w:tcBorders>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A73A34" w:rsidRPr="00A73A34" w14:paraId="1F5D6329" w14:textId="77777777">
                          <w:trPr>
                            <w:tblCellSpacing w:w="0" w:type="dxa"/>
                          </w:trPr>
                          <w:tc>
                            <w:tcPr>
                              <w:tcW w:w="0" w:type="auto"/>
                              <w:vAlign w:val="center"/>
                              <w:hideMark/>
                            </w:tcPr>
                            <w:p w14:paraId="0294BE83" w14:textId="77777777" w:rsidR="00A73A34" w:rsidRPr="00A73A34" w:rsidRDefault="00A73A34" w:rsidP="00A73A34">
                              <w:r w:rsidRPr="00A73A34">
                                <w:rPr>
                                  <w:b/>
                                  <w:bCs/>
                                </w:rPr>
                                <w:t>Our Development Consent Order (DCO) for Norwich to Tilbury has been accepted for examination by the Planning Inspectorate on behalf of the Secretary of State.  </w:t>
                              </w:r>
                            </w:p>
                          </w:tc>
                        </w:tr>
                      </w:tbl>
                      <w:p w14:paraId="5CB1DEE2" w14:textId="77777777" w:rsidR="00A73A34" w:rsidRPr="00A73A34" w:rsidRDefault="00A73A34" w:rsidP="00A73A34"/>
                    </w:tc>
                  </w:tr>
                </w:tbl>
                <w:p w14:paraId="24CC9921" w14:textId="77777777" w:rsidR="00A73A34" w:rsidRPr="00A73A34" w:rsidRDefault="00A73A34" w:rsidP="00A73A34"/>
              </w:tc>
            </w:tr>
          </w:tbl>
          <w:p w14:paraId="2BE027E4" w14:textId="77777777" w:rsidR="00A73A34" w:rsidRPr="00A73A34" w:rsidRDefault="00A73A34" w:rsidP="00A73A34">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A34" w:rsidRPr="00A73A34" w14:paraId="10074F1B"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A73A34" w:rsidRPr="00A73A34" w14:paraId="5D26EFB3"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25"/>
                        </w:tblGrid>
                        <w:tr w:rsidR="00A73A34" w:rsidRPr="00A73A34" w14:paraId="427887CE" w14:textId="77777777">
                          <w:trPr>
                            <w:tblCellSpacing w:w="0" w:type="dxa"/>
                          </w:trPr>
                          <w:tc>
                            <w:tcPr>
                              <w:tcW w:w="0" w:type="auto"/>
                              <w:vAlign w:val="center"/>
                              <w:hideMark/>
                            </w:tcPr>
                            <w:p w14:paraId="516713DE" w14:textId="77777777" w:rsidR="00A73A34" w:rsidRPr="00A73A34" w:rsidRDefault="00A73A34" w:rsidP="00A73A34">
                              <w:r w:rsidRPr="00A73A34">
                                <w:t>Norwich to Tilbury is a proposal to build a new 400 kilovolt (kV) electricity transmission connection for approximately 180 km from the Norwich Main substation via Bramford substation, a new East Anglia Connection Node (EACN) Substation and a new Tilbury North Substation.   </w:t>
                              </w:r>
                            </w:p>
                            <w:p w14:paraId="7A7214C5" w14:textId="77777777" w:rsidR="00A73A34" w:rsidRPr="00A73A34" w:rsidRDefault="00A73A34" w:rsidP="00A73A34">
                              <w:r w:rsidRPr="00A73A34">
                                <w:t>With electricity demand expected to double in the next few years, this upgrade will strengthen electricity capacity across East Anglia, helping to deliver cleaner, more affordable, home-grown energy to where it is needed most, in Norfolk, Suffolk, and Essex, supporting local and regional economic growth. </w:t>
                              </w:r>
                            </w:p>
                            <w:p w14:paraId="0593C3B4" w14:textId="77777777" w:rsidR="00A73A34" w:rsidRPr="00A73A34" w:rsidRDefault="00A73A34" w:rsidP="00A73A34">
                              <w:r w:rsidRPr="00A73A34">
                                <w:t>Norwich to Tilbury is part of </w:t>
                              </w:r>
                              <w:hyperlink r:id="rId4" w:tooltip="https://server.smartmailer.tractivity.co.uk/link.aspx?q=2022%7cODGXqOAjHkMMXhEPMqCJE9L%2bI4w9S3bD%2fK%2b2b6zrC3fxPD6Hs6Ekgr0Tfnu8KfxXxxkaeVBtKROFBca0%2bI%2fT5sJzemRydUtIZ3LqbwMmzyt7CqxUnYUkiCOGbHt3o7GeqWkaSbZCEGGdEH37zSFM8XJ%2bIOk9ydjNa701%2f3zL1tKhLAQ1LAenT37xr%2fYWM4JIuAC4bcB0MB6oP5eh%2fapULB4PAjNLcoftjZFxYMeNpG7JD2B2h10EDcr67DFvaqDza46bJD0DUwqpV4sYkmhwtVYv3MSP17wqoaFnm0Y2%2bWl93RhkD0fCTs9jlOyLxchT1LMRiBief3bTwXr%2fhUS%2fdSmXi4coUNdV6oZNIiBOY83bz0nhHLLADkyxuFONQQ6BFeo6GaBKI0pwEWLSQNLGLKCJTkIJRYgdR%2fCNlZ23QpKbCrBRTZAJoZWnulN0vW%2bi" w:history="1">
                                <w:r w:rsidRPr="00A73A34">
                                  <w:rPr>
                                    <w:rStyle w:val="Hyperlink"/>
                                    <w:b/>
                                    <w:bCs/>
                                  </w:rPr>
                                  <w:t>The Great Grid Upgrade</w:t>
                                </w:r>
                              </w:hyperlink>
                              <w:r w:rsidRPr="00A73A34">
                                <w:rPr>
                                  <w:b/>
                                  <w:bCs/>
                                </w:rPr>
                                <w:t>,</w:t>
                              </w:r>
                              <w:r w:rsidRPr="00A73A34">
                                <w:t> National Grid’s programme of major projects across England and Wales to deliver more secure and low-carbon electricity to homes and businesses, reduce bills and meet the growing demand for electricity. </w:t>
                              </w:r>
                            </w:p>
                            <w:p w14:paraId="10C786DE" w14:textId="77777777" w:rsidR="00A73A34" w:rsidRPr="00A73A34" w:rsidRDefault="00A73A34" w:rsidP="00A73A34">
                              <w:r w:rsidRPr="00A73A34">
                                <w:t>The project is expected to provide millions of pounds in community benefit funding to local areas hosting the new infrastructure and we are committed to working closely with local and national wildlife experts to leave lasting benefits for the environment and biodiversity in the region. </w:t>
                              </w:r>
                            </w:p>
                            <w:p w14:paraId="518DA826" w14:textId="77777777" w:rsidR="00A73A34" w:rsidRPr="00A73A34" w:rsidRDefault="00A73A34" w:rsidP="00A73A34">
                              <w:r w:rsidRPr="00A73A34">
                                <w:rPr>
                                  <w:b/>
                                  <w:bCs/>
                                </w:rPr>
                                <w:t>To read more about our proposals visit the </w:t>
                              </w:r>
                              <w:hyperlink r:id="rId5" w:tooltip="https://server.smartmailer.tractivity.co.uk/link.aspx?q=2022%7cYec6fNH6u%2btb%2fUn95kfPmExBAcZlPhy78Ouy9JdrzymOa3M3bBLy34JEgmLHaLgRNpEhhwjjAfyYngAAEgc7uXESlOOiKZBUsWFNa9a6uMVEOKK3JiSvYlR1zBy3mChZZ8vd1MgvGodWFYRzDey1uOcVoKPLX%2bn531m326wd0yIOjtsQDzbzE2sYisUQZdQRwtoQ1J1FG2JOrBLUdILBZWiNKWRVBkJuHDCb%2bPW2dWpIvw631a059gIFWuxpbbKXOzQpTumud1GJ7QxegMAi8dXNa2iC8t7VC8Oe6uoN0bJr03OZCEuXgIddipCBHaMM1QHSoaoO9tue7u7dyOl%2bSA7E8qrJ61NxZRgL8vDLtSQoOQcPZ2y%2bkGI8IqoKpH0AY6en4%2fy65x6xGzInpi4V0ioEEQ2po%2fBxGGizHhRdWl4kffAOEl8OPyLDTwBj5dDH" w:history="1">
                                <w:r w:rsidRPr="00A73A34">
                                  <w:rPr>
                                    <w:rStyle w:val="Hyperlink"/>
                                    <w:b/>
                                    <w:bCs/>
                                  </w:rPr>
                                  <w:t>Norwich to Tilbury website.</w:t>
                                </w:r>
                              </w:hyperlink>
                              <w:r w:rsidRPr="00A73A34">
                                <w:rPr>
                                  <w:b/>
                                  <w:bCs/>
                                </w:rPr>
                                <w:t> </w:t>
                              </w:r>
                              <w:r w:rsidRPr="00A73A34">
                                <w:t> </w:t>
                              </w:r>
                            </w:p>
                          </w:tc>
                        </w:tr>
                      </w:tbl>
                      <w:p w14:paraId="24FEC70C" w14:textId="77777777" w:rsidR="00A73A34" w:rsidRPr="00A73A34" w:rsidRDefault="00A73A34" w:rsidP="00A73A34"/>
                    </w:tc>
                  </w:tr>
                </w:tbl>
                <w:p w14:paraId="39C685C9" w14:textId="77777777" w:rsidR="00A73A34" w:rsidRPr="00A73A34" w:rsidRDefault="00A73A34" w:rsidP="00A73A34"/>
              </w:tc>
            </w:tr>
          </w:tbl>
          <w:p w14:paraId="0372858C" w14:textId="77777777" w:rsidR="00A73A34" w:rsidRPr="00A73A34" w:rsidRDefault="00A73A34" w:rsidP="00A73A34">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A34" w:rsidRPr="00A73A34" w14:paraId="65D3936E"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6735"/>
                    <w:gridCol w:w="3390"/>
                  </w:tblGrid>
                  <w:tr w:rsidR="00A73A34" w:rsidRPr="00A73A34" w14:paraId="03FF2FC7" w14:textId="77777777">
                    <w:trPr>
                      <w:tblCellSpacing w:w="0" w:type="dxa"/>
                      <w:jc w:val="center"/>
                    </w:trPr>
                    <w:tc>
                      <w:tcPr>
                        <w:tcW w:w="3300" w:type="pct"/>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735"/>
                        </w:tblGrid>
                        <w:tr w:rsidR="00A73A34" w:rsidRPr="00A73A34" w14:paraId="6F377B17" w14:textId="77777777">
                          <w:trPr>
                            <w:tblCellSpacing w:w="0" w:type="dxa"/>
                          </w:trPr>
                          <w:tc>
                            <w:tcPr>
                              <w:tcW w:w="0" w:type="auto"/>
                              <w:vAlign w:val="center"/>
                              <w:hideMark/>
                            </w:tcPr>
                            <w:p w14:paraId="5B79EAF4" w14:textId="77777777" w:rsidR="00A73A34" w:rsidRPr="00A73A34" w:rsidRDefault="00A73A34" w:rsidP="00A73A34">
                              <w:r w:rsidRPr="00A73A34">
                                <w:rPr>
                                  <w:b/>
                                  <w:bCs/>
                                </w:rPr>
                                <w:t>What documents are available? </w:t>
                              </w:r>
                            </w:p>
                          </w:tc>
                        </w:tr>
                      </w:tbl>
                      <w:p w14:paraId="3E7A0323" w14:textId="77777777" w:rsidR="00A73A34" w:rsidRPr="00A73A34" w:rsidRDefault="00A73A34" w:rsidP="00A73A34">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735"/>
                        </w:tblGrid>
                        <w:tr w:rsidR="00A73A34" w:rsidRPr="00A73A34" w14:paraId="37B9A59E" w14:textId="77777777">
                          <w:trPr>
                            <w:tblCellSpacing w:w="0" w:type="dxa"/>
                          </w:trPr>
                          <w:tc>
                            <w:tcPr>
                              <w:tcW w:w="0" w:type="auto"/>
                              <w:vAlign w:val="center"/>
                              <w:hideMark/>
                            </w:tcPr>
                            <w:p w14:paraId="69D73133" w14:textId="77777777" w:rsidR="00A73A34" w:rsidRPr="00A73A34" w:rsidRDefault="00A73A34" w:rsidP="00A73A34">
                              <w:r w:rsidRPr="00A73A34">
                                <w:t>Our application documents are now available to view on the</w:t>
                              </w:r>
                              <w:r w:rsidRPr="00A73A34">
                                <w:rPr>
                                  <w:b/>
                                  <w:bCs/>
                                </w:rPr>
                                <w:t> </w:t>
                              </w:r>
                              <w:hyperlink r:id="rId6" w:tooltip="https://server.smartmailer.tractivity.co.uk/link.aspx?q=2022%7cl3ARbE00MVypz2oEXudfwuyArWcNIt6eqfeT%2bEmr2PqM3Y5v1a%2f96ZxUe265HxZa735G8C9JSfMqglrJ16xnqFzzUjaF%2blTZDgtPaURDt6j%2bBdZuDWHYhCLLkIT%2fxurzIjawLcXNlrSR23hoDhwT1o3YXzSNyPUqymNtUuAIEtdlCep167G2y1NMgk85kHBtNoyTJ1%2bBpRW6%2b%2b5V6izCDn3Bl6JnuQwsjJ%2fU1Ea6Ec2fQBHhCGAH%2fJCN%2fBYJo823gETKX5wTNoq16eZ7rghynwh72RMigCuInoJkzlodq9ppjOb04T2k%2bXNVFd2gaeMJQ75mHWHBQsn772wjmhjf4ec8pH8RP3ldPUFu%2bgh6KVgkC1HHMGdDn%2b7G%2bvHZrFaBpQv7nXoHc%2bByYvOYnNjW9iz3BBtVwGYT3Rv6J9%2byR1jogg1JT91TsWTgdBXfkw3m" w:history="1">
                                <w:r w:rsidRPr="00A73A34">
                                  <w:rPr>
                                    <w:rStyle w:val="Hyperlink"/>
                                    <w:b/>
                                    <w:bCs/>
                                  </w:rPr>
                                  <w:t>Planning Inspectorate’s website.</w:t>
                                </w:r>
                              </w:hyperlink>
                              <w:r w:rsidRPr="00A73A34">
                                <w:rPr>
                                  <w:rFonts w:ascii="Arial" w:hAnsi="Arial" w:cs="Arial"/>
                                  <w:b/>
                                  <w:bCs/>
                                </w:rPr>
                                <w:t>  </w:t>
                              </w:r>
                              <w:r w:rsidRPr="00A73A34">
                                <w:rPr>
                                  <w:b/>
                                  <w:bCs/>
                                </w:rPr>
                                <w:t> </w:t>
                              </w:r>
                              <w:r w:rsidRPr="00A73A34">
                                <w:rPr>
                                  <w:rFonts w:ascii="Arial" w:hAnsi="Arial" w:cs="Arial"/>
                                </w:rPr>
                                <w:t> </w:t>
                              </w:r>
                              <w:r w:rsidRPr="00A73A34">
                                <w:t> </w:t>
                              </w:r>
                            </w:p>
                            <w:p w14:paraId="7F876969" w14:textId="77777777" w:rsidR="00A73A34" w:rsidRPr="00A73A34" w:rsidRDefault="00A73A34" w:rsidP="00A73A34">
                              <w:r w:rsidRPr="00A73A34">
                                <w:t>This includes a Consultation Report providing responses to the feedback submitted during the 2024 statutory consultation and the targeted consultations earlier this year. </w:t>
                              </w:r>
                            </w:p>
                            <w:p w14:paraId="08E3D2F7" w14:textId="77777777" w:rsidR="00A73A34" w:rsidRPr="00A73A34" w:rsidRDefault="00A73A34" w:rsidP="00A73A34">
                              <w:r w:rsidRPr="00A73A34">
                                <w:t>On our website you can also access documents that explain how the design has evolved throughout the development process,</w:t>
                              </w:r>
                              <w:hyperlink r:id="rId7" w:tooltip="https://server.smartmailer.tractivity.co.uk/link.aspx?q=2022%7cs1xy4IIGPjiQX5rTLDo3hGZ98MOAlGxQMrCnMgg1u0YxLhcf4FXREWZAceWqfkO7WDPNGjnpbxBeikuSeaaD42TfAO3XdeYDmnE%2bymLlEHMG%2b52EjVHo13%2fapWosjfN0mcSxVOqJ0bovJUMxR2Y03uPTICQSVVzzdWV426OjPuHF%2f8hqTpQWyI0bwXO0zLgodmGTVeX167FJztx8DRdY7BJkL6Qm5qaAh5dLsQaXyOLS%2fBUY6nhbd0ngM1b7cWg%2fKPkS15RY%2fcfuEfqtXtbrQ9UBx00lsBsjYMyUVzIPdUpXEZ175r%2flPn4wniXwQdIp2pSmox9DqFHtwaKePLjqKE9fdeERc%2bpoTWIe4PY2AYVCrDBsdTOsEQgpqDoMnBrzta2JaV0%2bhJjPyHz9Ao4ZQKzOIJUBNJXy50GdHPrAR5xJpedoWgq83AusYwoUlh0s" w:history="1">
                                <w:r w:rsidRPr="00A73A34">
                                  <w:rPr>
                                    <w:rStyle w:val="Hyperlink"/>
                                    <w:b/>
                                    <w:bCs/>
                                  </w:rPr>
                                  <w:t> here.</w:t>
                                </w:r>
                              </w:hyperlink>
                              <w:r w:rsidRPr="00A73A34">
                                <w:t>  </w:t>
                              </w:r>
                            </w:p>
                            <w:p w14:paraId="2720FDE9" w14:textId="77777777" w:rsidR="00A73A34" w:rsidRPr="00A73A34" w:rsidRDefault="00A73A34" w:rsidP="00A73A34">
                              <w:r w:rsidRPr="00A73A34">
                                <w:t>In addition to those documents, the </w:t>
                              </w:r>
                              <w:r w:rsidRPr="00A73A34">
                                <w:rPr>
                                  <w:b/>
                                  <w:bCs/>
                                </w:rPr>
                                <w:t>interactive project map </w:t>
                              </w:r>
                              <w:r w:rsidRPr="00A73A34">
                                <w:t>has been updated and a feature has been added allowing you to switch between the DCO proposals and those presented at the consultations held between 2022 and 2024.   </w:t>
                              </w:r>
                            </w:p>
                          </w:tc>
                        </w:tr>
                      </w:tbl>
                      <w:p w14:paraId="68136D4C" w14:textId="77777777" w:rsidR="00A73A34" w:rsidRPr="00A73A34" w:rsidRDefault="00A73A34" w:rsidP="00A73A34"/>
                    </w:tc>
                    <w:tc>
                      <w:tcPr>
                        <w:tcW w:w="165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390"/>
                        </w:tblGrid>
                        <w:tr w:rsidR="00A73A34" w:rsidRPr="00A73A34" w14:paraId="6F3D99BB" w14:textId="77777777">
                          <w:trPr>
                            <w:tblCellSpacing w:w="0" w:type="dxa"/>
                          </w:trPr>
                          <w:tc>
                            <w:tcPr>
                              <w:tcW w:w="3375" w:type="dxa"/>
                              <w:vAlign w:val="center"/>
                              <w:hideMark/>
                            </w:tcPr>
                            <w:p w14:paraId="4C54E0B7" w14:textId="3A9E9B34" w:rsidR="00A73A34" w:rsidRPr="00A73A34" w:rsidRDefault="00A73A34" w:rsidP="00A73A34">
                              <w:r w:rsidRPr="00A73A34">
                                <w:drawing>
                                  <wp:inline distT="0" distB="0" distL="0" distR="0" wp14:anchorId="42EF9494" wp14:editId="532D4575">
                                    <wp:extent cx="2143125" cy="2428875"/>
                                    <wp:effectExtent l="0" t="0" r="9525" b="9525"/>
                                    <wp:docPr id="68530745" name="Picture 4" descr="A person looking at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0745" name="Picture 4" descr="A person looking at a piece of 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2428875"/>
                                            </a:xfrm>
                                            <a:prstGeom prst="rect">
                                              <a:avLst/>
                                            </a:prstGeom>
                                            <a:noFill/>
                                            <a:ln>
                                              <a:noFill/>
                                            </a:ln>
                                          </pic:spPr>
                                        </pic:pic>
                                      </a:graphicData>
                                    </a:graphic>
                                  </wp:inline>
                                </w:drawing>
                              </w:r>
                            </w:p>
                          </w:tc>
                        </w:tr>
                      </w:tbl>
                      <w:p w14:paraId="293F7F30" w14:textId="77777777" w:rsidR="00A73A34" w:rsidRPr="00A73A34" w:rsidRDefault="00A73A34" w:rsidP="00A73A34"/>
                    </w:tc>
                  </w:tr>
                </w:tbl>
                <w:p w14:paraId="6FD8A8E0" w14:textId="77777777" w:rsidR="00A73A34" w:rsidRPr="00A73A34" w:rsidRDefault="00A73A34" w:rsidP="00A73A34"/>
              </w:tc>
            </w:tr>
          </w:tbl>
          <w:p w14:paraId="00CBDF1F" w14:textId="77777777" w:rsidR="00A73A34" w:rsidRPr="00A73A34" w:rsidRDefault="00A73A34" w:rsidP="00A73A34">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73A34" w:rsidRPr="00A73A34" w14:paraId="7179C36D" w14:textId="77777777">
              <w:trPr>
                <w:tblCellSpacing w:w="0" w:type="dxa"/>
                <w:jc w:val="center"/>
              </w:trPr>
              <w:tc>
                <w:tcPr>
                  <w:tcW w:w="0" w:type="auto"/>
                  <w:vAlign w:val="center"/>
                  <w:hideMark/>
                </w:tcPr>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A73A34" w:rsidRPr="00A73A34" w14:paraId="109427CE"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25"/>
                        </w:tblGrid>
                        <w:tr w:rsidR="00A73A34" w:rsidRPr="00A73A34" w14:paraId="081B94C2" w14:textId="77777777">
                          <w:trPr>
                            <w:tblCellSpacing w:w="0" w:type="dxa"/>
                          </w:trPr>
                          <w:tc>
                            <w:tcPr>
                              <w:tcW w:w="0" w:type="auto"/>
                              <w:vAlign w:val="center"/>
                              <w:hideMark/>
                            </w:tcPr>
                            <w:p w14:paraId="283B5AEA" w14:textId="77777777" w:rsidR="00A73A34" w:rsidRPr="00A73A34" w:rsidRDefault="00A73A34" w:rsidP="00A73A34">
                              <w:r w:rsidRPr="00A73A34">
                                <w:rPr>
                                  <w:b/>
                                  <w:bCs/>
                                </w:rPr>
                                <w:t>What happens next </w:t>
                              </w:r>
                            </w:p>
                          </w:tc>
                        </w:tr>
                      </w:tbl>
                      <w:p w14:paraId="25269BF9" w14:textId="77777777" w:rsidR="00A73A34" w:rsidRPr="00A73A34" w:rsidRDefault="00A73A34" w:rsidP="00A73A34">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25"/>
                        </w:tblGrid>
                        <w:tr w:rsidR="00A73A34" w:rsidRPr="00A73A34" w14:paraId="2901E618" w14:textId="77777777">
                          <w:trPr>
                            <w:tblCellSpacing w:w="0" w:type="dxa"/>
                          </w:trPr>
                          <w:tc>
                            <w:tcPr>
                              <w:tcW w:w="0" w:type="auto"/>
                              <w:vAlign w:val="center"/>
                              <w:hideMark/>
                            </w:tcPr>
                            <w:p w14:paraId="553A7835" w14:textId="77777777" w:rsidR="00A73A34" w:rsidRPr="00A73A34" w:rsidRDefault="00A73A34" w:rsidP="00A73A34">
                              <w:r w:rsidRPr="00A73A34">
                                <w:t>There will be an opportunity to register as an interested party with the Planning Inspectorate. Registering means you will be able to have your say on the application and take part during the examination.  </w:t>
                              </w:r>
                            </w:p>
                            <w:p w14:paraId="3F227C28" w14:textId="77777777" w:rsidR="00A73A34" w:rsidRPr="00A73A34" w:rsidRDefault="00A73A34" w:rsidP="00A73A34">
                              <w:r w:rsidRPr="00A73A34">
                                <w:t>The Planning Inspectorate has a guide on how to become an interested party on its website. </w:t>
                              </w:r>
                              <w:hyperlink r:id="rId9" w:tooltip="https://server.smartmailer.tractivity.co.uk/link.aspx?q=2022%7cIR3AifJ5wp8T4wwZrAeSKf1LRdVCsSAJm%2fOHr7upmEcTd%2bIyqEGTXwTimOYjmkvS%2fL2RDRspPFFZfkLmV7VObZiazRREzemavJcLPgwZuUx%2fXtgTkKvcvaYNdwZTWPg2MFTM8ZIeh3X6sRNsxZNzE7kWZ9aoUOpY8EFbyJPqgZHlSX2zHSNesrpjPO1nhVqmTpHXBLNywVusVG%2f56lixMrFY7xIwdUh8SXtQPqpOv%2fFmJrnzoSPO9zfAt3SN0wQBPClV9hBDXq9CBIyJEO8gU2eLj%2f58%2fBZbufFeXtVXDq6ewd6jdc0yt4mBUlhhRQRy7z6zerCg1lTlI4XCC%2fpfc%2feVu0OdCYBjzEq7Xum2wSbSVMFl7la2JzZtcLAyZUE3gybJFdx%2bIH8M6ZlH%2fmrPiHQGB%2fzrcDs2iV4KCZ%2f1Iq%2fcnxAtzBGxx2M%2bDb5qN1hN" w:history="1">
                                <w:r w:rsidRPr="00A73A34">
                                  <w:rPr>
                                    <w:rStyle w:val="Hyperlink"/>
                                    <w:b/>
                                    <w:bCs/>
                                  </w:rPr>
                                  <w:t>Click here</w:t>
                                </w:r>
                              </w:hyperlink>
                              <w:r w:rsidRPr="00A73A34">
                                <w:t> to view the guide.  </w:t>
                              </w:r>
                            </w:p>
                          </w:tc>
                        </w:tr>
                      </w:tbl>
                      <w:p w14:paraId="48E4FF35" w14:textId="77777777" w:rsidR="00A73A34" w:rsidRPr="00A73A34" w:rsidRDefault="00A73A34" w:rsidP="00A73A34">
                        <w:pPr>
                          <w:rPr>
                            <w:vanish/>
                          </w:rPr>
                        </w:pPr>
                      </w:p>
                      <w:tbl>
                        <w:tblPr>
                          <w:tblW w:w="5000" w:type="pct"/>
                          <w:tblCellSpacing w:w="0" w:type="dxa"/>
                          <w:tblCellMar>
                            <w:left w:w="0" w:type="dxa"/>
                            <w:right w:w="0" w:type="dxa"/>
                          </w:tblCellMar>
                          <w:tblLook w:val="04A0" w:firstRow="1" w:lastRow="0" w:firstColumn="1" w:lastColumn="0" w:noHBand="0" w:noVBand="1"/>
                        </w:tblPr>
                        <w:tblGrid>
                          <w:gridCol w:w="10125"/>
                        </w:tblGrid>
                        <w:tr w:rsidR="00A73A34" w:rsidRPr="00A73A34" w14:paraId="17C91E1F" w14:textId="77777777">
                          <w:trPr>
                            <w:tblCellSpacing w:w="0" w:type="dxa"/>
                          </w:trPr>
                          <w:tc>
                            <w:tcPr>
                              <w:tcW w:w="10125" w:type="dxa"/>
                              <w:vAlign w:val="center"/>
                              <w:hideMark/>
                            </w:tcPr>
                            <w:p w14:paraId="141F81F4" w14:textId="65EDC1C6" w:rsidR="00A73A34" w:rsidRPr="00A73A34" w:rsidRDefault="00A73A34" w:rsidP="00A73A34">
                              <w:r w:rsidRPr="00A73A34">
                                <w:lastRenderedPageBreak/>
                                <w:drawing>
                                  <wp:inline distT="0" distB="0" distL="0" distR="0" wp14:anchorId="7C23C04A" wp14:editId="2FF26D19">
                                    <wp:extent cx="5731510" cy="5434330"/>
                                    <wp:effectExtent l="0" t="0" r="2540" b="0"/>
                                    <wp:docPr id="306067139" name="Picture 3"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67139" name="Picture 3" descr="A screenshot of a scree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434330"/>
                                            </a:xfrm>
                                            <a:prstGeom prst="rect">
                                              <a:avLst/>
                                            </a:prstGeom>
                                            <a:noFill/>
                                            <a:ln>
                                              <a:noFill/>
                                            </a:ln>
                                          </pic:spPr>
                                        </pic:pic>
                                      </a:graphicData>
                                    </a:graphic>
                                  </wp:inline>
                                </w:drawing>
                              </w:r>
                            </w:p>
                          </w:tc>
                        </w:tr>
                      </w:tbl>
                      <w:p w14:paraId="199552BF" w14:textId="77777777" w:rsidR="00A73A34" w:rsidRPr="00A73A34" w:rsidRDefault="00A73A34" w:rsidP="00A73A34"/>
                    </w:tc>
                  </w:tr>
                </w:tbl>
                <w:p w14:paraId="1EC7C914" w14:textId="77777777" w:rsidR="00A73A34" w:rsidRPr="00A73A34" w:rsidRDefault="00A73A34" w:rsidP="00A73A34"/>
              </w:tc>
            </w:tr>
          </w:tbl>
          <w:p w14:paraId="674B3185" w14:textId="77777777" w:rsidR="00A73A34" w:rsidRPr="00A73A34" w:rsidRDefault="00A73A34" w:rsidP="00A73A34"/>
        </w:tc>
      </w:tr>
    </w:tbl>
    <w:p w14:paraId="013AE1B0" w14:textId="77777777" w:rsidR="00A73A34" w:rsidRPr="00A73A34" w:rsidRDefault="00A73A34" w:rsidP="00A73A34">
      <w:pPr>
        <w:rPr>
          <w:vanish/>
        </w:rPr>
      </w:pPr>
    </w:p>
    <w:p w14:paraId="05930D16" w14:textId="77777777" w:rsidR="0004511E" w:rsidRDefault="0004511E"/>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4"/>
    <w:rsid w:val="0004511E"/>
    <w:rsid w:val="005A7AF8"/>
    <w:rsid w:val="006C3A24"/>
    <w:rsid w:val="00A73A34"/>
    <w:rsid w:val="00DA0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EBE2"/>
  <w15:chartTrackingRefBased/>
  <w15:docId w15:val="{0D91F777-4A6E-4BED-ABA2-FE76D495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34"/>
    <w:rPr>
      <w:rFonts w:eastAsiaTheme="majorEastAsia" w:cstheme="majorBidi"/>
      <w:color w:val="272727" w:themeColor="text1" w:themeTint="D8"/>
    </w:rPr>
  </w:style>
  <w:style w:type="paragraph" w:styleId="Title">
    <w:name w:val="Title"/>
    <w:basedOn w:val="Normal"/>
    <w:next w:val="Normal"/>
    <w:link w:val="TitleChar"/>
    <w:uiPriority w:val="10"/>
    <w:qFormat/>
    <w:rsid w:val="00A7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34"/>
    <w:pPr>
      <w:spacing w:before="160"/>
      <w:jc w:val="center"/>
    </w:pPr>
    <w:rPr>
      <w:i/>
      <w:iCs/>
      <w:color w:val="404040" w:themeColor="text1" w:themeTint="BF"/>
    </w:rPr>
  </w:style>
  <w:style w:type="character" w:customStyle="1" w:styleId="QuoteChar">
    <w:name w:val="Quote Char"/>
    <w:basedOn w:val="DefaultParagraphFont"/>
    <w:link w:val="Quote"/>
    <w:uiPriority w:val="29"/>
    <w:rsid w:val="00A73A34"/>
    <w:rPr>
      <w:i/>
      <w:iCs/>
      <w:color w:val="404040" w:themeColor="text1" w:themeTint="BF"/>
    </w:rPr>
  </w:style>
  <w:style w:type="paragraph" w:styleId="ListParagraph">
    <w:name w:val="List Paragraph"/>
    <w:basedOn w:val="Normal"/>
    <w:uiPriority w:val="34"/>
    <w:qFormat/>
    <w:rsid w:val="00A73A34"/>
    <w:pPr>
      <w:ind w:left="720"/>
      <w:contextualSpacing/>
    </w:pPr>
  </w:style>
  <w:style w:type="character" w:styleId="IntenseEmphasis">
    <w:name w:val="Intense Emphasis"/>
    <w:basedOn w:val="DefaultParagraphFont"/>
    <w:uiPriority w:val="21"/>
    <w:qFormat/>
    <w:rsid w:val="00A73A34"/>
    <w:rPr>
      <w:i/>
      <w:iCs/>
      <w:color w:val="0F4761" w:themeColor="accent1" w:themeShade="BF"/>
    </w:rPr>
  </w:style>
  <w:style w:type="paragraph" w:styleId="IntenseQuote">
    <w:name w:val="Intense Quote"/>
    <w:basedOn w:val="Normal"/>
    <w:next w:val="Normal"/>
    <w:link w:val="IntenseQuoteChar"/>
    <w:uiPriority w:val="30"/>
    <w:qFormat/>
    <w:rsid w:val="00A7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34"/>
    <w:rPr>
      <w:i/>
      <w:iCs/>
      <w:color w:val="0F4761" w:themeColor="accent1" w:themeShade="BF"/>
    </w:rPr>
  </w:style>
  <w:style w:type="character" w:styleId="IntenseReference">
    <w:name w:val="Intense Reference"/>
    <w:basedOn w:val="DefaultParagraphFont"/>
    <w:uiPriority w:val="32"/>
    <w:qFormat/>
    <w:rsid w:val="00A73A34"/>
    <w:rPr>
      <w:b/>
      <w:bCs/>
      <w:smallCaps/>
      <w:color w:val="0F4761" w:themeColor="accent1" w:themeShade="BF"/>
      <w:spacing w:val="5"/>
    </w:rPr>
  </w:style>
  <w:style w:type="character" w:styleId="Hyperlink">
    <w:name w:val="Hyperlink"/>
    <w:basedOn w:val="DefaultParagraphFont"/>
    <w:uiPriority w:val="99"/>
    <w:unhideWhenUsed/>
    <w:rsid w:val="00A73A34"/>
    <w:rPr>
      <w:color w:val="467886" w:themeColor="hyperlink"/>
      <w:u w:val="single"/>
    </w:rPr>
  </w:style>
  <w:style w:type="character" w:styleId="UnresolvedMention">
    <w:name w:val="Unresolved Mention"/>
    <w:basedOn w:val="DefaultParagraphFont"/>
    <w:uiPriority w:val="99"/>
    <w:semiHidden/>
    <w:unhideWhenUsed/>
    <w:rsid w:val="00A7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server.smartmailer.tractivity.co.uk/link.aspx?q=2022%7cs1xy4IIGPjiQX5rTLDo3hGZ98MOAlGxQMrCnMgg1u0YxLhcf4FXREWZAceWqfkO7WDPNGjnpbxBeikuSeaaD42TfAO3XdeYDmnE%2bymLlEHMG%2b52EjVHo13%2fapWosjfN0mcSxVOqJ0bovJUMxR2Y03uPTICQSVVzzdWV426OjPuHF%2f8hqTpQWyI0bwXO0zLgodmGTVeX167FJztx8DRdY7BJkL6Qm5qaAh5dLsQaXyOLS%2fBUY6nhbd0ngM1b7cWg%2fKPkS15RY%2fcfuEfqtXtbrQ9UBx00lsBsjYMyUVzIPdUpXEZ175r%2flPn4wniXwQdIp2pSmox9DqFHtwaKePLjqKE9fdeERc%2bpoTWIe4PY2AYVCrDBsdTOsEQgpqDoMnBrzta2JaV0%2bhJjPyHz9Ao4ZQKzOIJUBNJXy50GdHPrAR5xJpedoWgq83AusYwoUlh0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er.smartmailer.tractivity.co.uk/link.aspx?q=2022%7cl3ARbE00MVypz2oEXudfwuyArWcNIt6eqfeT%2bEmr2PqM3Y5v1a%2f96ZxUe265HxZa735G8C9JSfMqglrJ16xnqFzzUjaF%2blTZDgtPaURDt6j%2bBdZuDWHYhCLLkIT%2fxurzIjawLcXNlrSR23hoDhwT1o3YXzSNyPUqymNtUuAIEtdlCep167G2y1NMgk85kHBtNoyTJ1%2bBpRW6%2b%2b5V6izCDn3Bl6JnuQwsjJ%2fU1Ea6Ec2fQBHhCGAH%2fJCN%2fBYJo823gETKX5wTNoq16eZ7rghynwh72RMigCuInoJkzlodq9ppjOb04T2k%2bXNVFd2gaeMJQ75mHWHBQsn772wjmhjf4ec8pH8RP3ldPUFu%2bgh6KVgkC1HHMGdDn%2b7G%2bvHZrFaBpQv7nXoHc%2bByYvOYnNjW9iz3BBtVwGYT3Rv6J9%2byR1jogg1JT91TsWTgdBXfkw3m" TargetMode="External"/><Relationship Id="rId11" Type="http://schemas.openxmlformats.org/officeDocument/2006/relationships/fontTable" Target="fontTable.xml"/><Relationship Id="rId5" Type="http://schemas.openxmlformats.org/officeDocument/2006/relationships/hyperlink" Target="https://server.smartmailer.tractivity.co.uk/link.aspx?q=2022%7cYec6fNH6u%2btb%2fUn95kfPmExBAcZlPhy78Ouy9JdrzymOa3M3bBLy34JEgmLHaLgRNpEhhwjjAfyYngAAEgc7uXESlOOiKZBUsWFNa9a6uMVEOKK3JiSvYlR1zBy3mChZZ8vd1MgvGodWFYRzDey1uOcVoKPLX%2bn531m326wd0yIOjtsQDzbzE2sYisUQZdQRwtoQ1J1FG2JOrBLUdILBZWiNKWRVBkJuHDCb%2bPW2dWpIvw631a059gIFWuxpbbKXOzQpTumud1GJ7QxegMAi8dXNa2iC8t7VC8Oe6uoN0bJr03OZCEuXgIddipCBHaMM1QHSoaoO9tue7u7dyOl%2bSA7E8qrJ61NxZRgL8vDLtSQoOQcPZ2y%2bkGI8IqoKpH0AY6en4%2fy65x6xGzInpi4V0ioEEQ2po%2fBxGGizHhRdWl4kffAOEl8OPyLDTwBj5dDH" TargetMode="External"/><Relationship Id="rId10" Type="http://schemas.openxmlformats.org/officeDocument/2006/relationships/image" Target="media/image2.png"/><Relationship Id="rId4" Type="http://schemas.openxmlformats.org/officeDocument/2006/relationships/hyperlink" Target="https://server.smartmailer.tractivity.co.uk/link.aspx?q=2022%7cODGXqOAjHkMMXhEPMqCJE9L%2bI4w9S3bD%2fK%2b2b6zrC3fxPD6Hs6Ekgr0Tfnu8KfxXxxkaeVBtKROFBca0%2bI%2fT5sJzemRydUtIZ3LqbwMmzyt7CqxUnYUkiCOGbHt3o7GeqWkaSbZCEGGdEH37zSFM8XJ%2bIOk9ydjNa701%2f3zL1tKhLAQ1LAenT37xr%2fYWM4JIuAC4bcB0MB6oP5eh%2fapULB4PAjNLcoftjZFxYMeNpG7JD2B2h10EDcr67DFvaqDza46bJD0DUwqpV4sYkmhwtVYv3MSP17wqoaFnm0Y2%2bWl93RhkD0fCTs9jlOyLxchT1LMRiBief3bTwXr%2fhUS%2fdSmXi4coUNdV6oZNIiBOY83bz0nhHLLADkyxuFONQQ6BFeo6GaBKI0pwEWLSQNLGLKCJTkIJRYgdR%2fCNlZ23QpKbCrBRTZAJoZWnulN0vW%2bi" TargetMode="External"/><Relationship Id="rId9" Type="http://schemas.openxmlformats.org/officeDocument/2006/relationships/hyperlink" Target="https://server.smartmailer.tractivity.co.uk/link.aspx?q=2022%7cIR3AifJ5wp8T4wwZrAeSKf1LRdVCsSAJm%2fOHr7upmEcTd%2bIyqEGTXwTimOYjmkvS%2fL2RDRspPFFZfkLmV7VObZiazRREzemavJcLPgwZuUx%2fXtgTkKvcvaYNdwZTWPg2MFTM8ZIeh3X6sRNsxZNzE7kWZ9aoUOpY8EFbyJPqgZHlSX2zHSNesrpjPO1nhVqmTpHXBLNywVusVG%2f56lixMrFY7xIwdUh8SXtQPqpOv%2fFmJrnzoSPO9zfAt3SN0wQBPClV9hBDXq9CBIyJEO8gU2eLj%2f58%2fBZbufFeXtVXDq6ewd6jdc0yt4mBUlhhRQRy7z6zerCg1lTlI4XCC%2fpfc%2feVu0OdCYBjzEq7Xum2wSbSVMFl7la2JzZtcLAyZUE3gybJFdx%2bIH8M6ZlH%2fmrPiHQGB%2fzrcDs2iV4KCZ%2f1Iq%2fcnxAtzBGxx2M%2bDb5qN1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2025-09-29T09:54:00Z</dcterms:created>
  <dcterms:modified xsi:type="dcterms:W3CDTF">2025-09-29T09:56:00Z</dcterms:modified>
</cp:coreProperties>
</file>